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tc>
        <w:tc>
          <w:tcPr>
            <w:tcW w:w="7740" w:type="dxa"/>
            <w:tcBorders/>
          </w:tcPr>
          <w:p>
            <w:pPr>
              <w:pStyle w:val="Heading1"/>
              <w:snapToGrid w:val="false"/>
              <w:ind w:hanging="0" w:start="0"/>
              <w:rPr/>
            </w:pPr>
            <w:r>
              <w:rPr/>
            </w:r>
          </w:p>
          <w:p>
            <w:pPr>
              <w:pStyle w:val="Heading1"/>
              <w:ind w:hanging="0" w:start="0"/>
              <w:rPr/>
            </w:pPr>
            <w:r>
              <w:rPr/>
            </w:r>
          </w:p>
          <w:p>
            <w:pPr>
              <w:pStyle w:val="Heading1"/>
              <w:ind w:hanging="0" w:start="0"/>
              <w:rPr/>
            </w:pPr>
            <w:r>
              <w:rPr/>
            </w:r>
          </w:p>
          <w:p>
            <w:pPr>
              <w:pStyle w:val="Heading1"/>
              <w:ind w:hanging="0" w:start="0"/>
              <w:rPr/>
            </w:pPr>
            <w:r>
              <w:rPr/>
              <w:t>EnronEAuction</w:t>
            </w:r>
            <w:r>
              <w:rPr>
                <w:sz w:val="20"/>
              </w:rPr>
              <w:t xml:space="preserve"> CONFIRMATION</w:t>
            </w:r>
          </w:p>
          <w:p>
            <w:pPr>
              <w:pStyle w:val="Normal"/>
              <w:rPr>
                <w:b/>
                <w:sz w:val="20"/>
              </w:rPr>
            </w:pPr>
            <w:r>
              <w:rPr>
                <w:b/>
                <w:sz w:val="20"/>
              </w:rPr>
              <w:t xml:space="preserve">(SO2 EMISSION ALLOWANCE PURCHASE &amp; SALE TRANSACTION)                                                                    </w:t>
            </w:r>
          </w:p>
        </w:tc>
      </w:tr>
    </w:tbl>
    <w:p>
      <w:pPr>
        <w:pStyle w:val="Normal"/>
        <w:rPr>
          <w:sz w:val="22"/>
        </w:rPr>
      </w:pPr>
      <w:r>
        <w:rPr>
          <w:sz w:val="22"/>
        </w:rPr>
      </w:r>
    </w:p>
    <w:p>
      <w:pPr>
        <w:pStyle w:val="Normal"/>
        <w:rPr>
          <w:rFonts w:ascii="Courier New" w:hAnsi="Courier New" w:cs="Courier New"/>
          <w:b/>
          <w:sz w:val="20"/>
        </w:rPr>
      </w:pPr>
      <w:r>
        <w:rPr>
          <w:rFonts w:cs="Courier New" w:ascii="Courier New" w:hAnsi="Courier New"/>
          <w:b/>
          <w:sz w:val="20"/>
        </w:rPr>
      </w:r>
    </w:p>
    <w:p>
      <w:pPr>
        <w:pStyle w:val="Normal"/>
        <w:rPr/>
      </w:pPr>
      <w:r>
        <w:rPr>
          <w:rFonts w:cs="Courier New" w:ascii="Courier New" w:hAnsi="Courier New"/>
          <w:b/>
          <w:sz w:val="20"/>
        </w:rPr>
        <w:tab/>
      </w:r>
      <w:r>
        <w:rPr/>
        <w:tab/>
        <w:tab/>
        <w:tab/>
        <w:tab/>
        <w:tab/>
        <w:tab/>
      </w:r>
    </w:p>
    <w:p>
      <w:pPr>
        <w:pStyle w:val="Normal"/>
        <w:tabs>
          <w:tab w:val="clear" w:pos="720"/>
          <w:tab w:val="left" w:pos="2160" w:leader="none"/>
          <w:tab w:val="left" w:pos="6480" w:leader="none"/>
        </w:tabs>
        <w:ind w:start="-720" w:end="0"/>
        <w:rPr>
          <w:sz w:val="20"/>
        </w:rPr>
      </w:pPr>
      <w:r>
        <w:rPr>
          <w:sz w:val="20"/>
        </w:rPr>
        <w:t>Date:</w:t>
        <w:tab/>
      </w:r>
      <w:r>
        <w:rPr>
          <w:sz w:val="20"/>
        </w:rPr>
        <w:fldChar w:fldCharType="begin"/>
      </w:r>
      <w:r>
        <w:rPr>
          <w:sz w:val="20"/>
        </w:rPr>
        <w:instrText xml:space="preserve"> MERGEFIELD DateToday </w:instrText>
      </w:r>
      <w:r>
        <w:rPr>
          <w:sz w:val="20"/>
        </w:rPr>
        <w:fldChar w:fldCharType="separate"/>
      </w:r>
      <w:r>
        <w:rPr>
          <w:sz w:val="20"/>
        </w:rPr>
        <w:t>«DateToday»</w:t>
      </w:r>
      <w:r>
        <w:rPr>
          <w:sz w:val="20"/>
        </w:rPr>
        <w:fldChar w:fldCharType="end"/>
      </w:r>
    </w:p>
    <w:p>
      <w:pPr>
        <w:pStyle w:val="Normal"/>
        <w:tabs>
          <w:tab w:val="clear" w:pos="720"/>
          <w:tab w:val="left" w:pos="2160" w:leader="none"/>
          <w:tab w:val="left" w:pos="6480" w:leader="none"/>
        </w:tabs>
        <w:ind w:start="-720" w:end="0"/>
        <w:rPr>
          <w:sz w:val="20"/>
        </w:rPr>
      </w:pPr>
      <w:r>
        <w:rPr>
          <w:sz w:val="20"/>
        </w:rPr>
        <w:t>Attention:</w:t>
        <w:tab/>
      </w:r>
      <w:r>
        <w:rPr>
          <w:sz w:val="20"/>
        </w:rPr>
        <w:fldChar w:fldCharType="begin"/>
      </w:r>
      <w:r>
        <w:rPr>
          <w:sz w:val="20"/>
        </w:rPr>
        <w:instrText xml:space="preserve"> MERGEFIELD CounterpartyContact </w:instrText>
      </w:r>
      <w:r>
        <w:rPr>
          <w:sz w:val="20"/>
        </w:rPr>
        <w:fldChar w:fldCharType="separate"/>
      </w:r>
      <w:r>
        <w:rPr>
          <w:sz w:val="20"/>
        </w:rPr>
        <w:t>«CounterpartyContact»</w:t>
      </w:r>
      <w:r>
        <w:rPr>
          <w:sz w:val="20"/>
        </w:rPr>
        <w:fldChar w:fldCharType="end"/>
      </w:r>
    </w:p>
    <w:p>
      <w:pPr>
        <w:pStyle w:val="Normal"/>
        <w:tabs>
          <w:tab w:val="clear" w:pos="720"/>
          <w:tab w:val="left" w:pos="2160" w:leader="none"/>
          <w:tab w:val="left" w:pos="6480" w:leader="none"/>
        </w:tabs>
        <w:ind w:start="-720" w:end="0"/>
        <w:rPr/>
      </w:pPr>
      <w:r>
        <w:rPr>
          <w:sz w:val="20"/>
        </w:rPr>
        <w:t>To:</w:t>
        <w:tab/>
      </w: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r>
        <w:rPr>
          <w:sz w:val="20"/>
        </w:rPr>
        <w:t xml:space="preserve"> ("Counterparty")</w:t>
      </w:r>
    </w:p>
    <w:p>
      <w:pPr>
        <w:pStyle w:val="Normal"/>
        <w:tabs>
          <w:tab w:val="clear" w:pos="720"/>
          <w:tab w:val="left" w:pos="2160" w:leader="none"/>
          <w:tab w:val="left" w:pos="6480" w:leader="none"/>
        </w:tabs>
        <w:ind w:start="-720" w:end="0"/>
        <w:rPr>
          <w:sz w:val="20"/>
        </w:rPr>
      </w:pPr>
      <w:r>
        <w:rPr>
          <w:sz w:val="20"/>
        </w:rPr>
        <w:t>From:</w:t>
        <w:tab/>
        <w:t>Enron North America Corp. ("ENA")</w:t>
      </w:r>
    </w:p>
    <w:p>
      <w:pPr>
        <w:pStyle w:val="Normal"/>
        <w:tabs>
          <w:tab w:val="clear" w:pos="720"/>
          <w:tab w:val="left" w:pos="2160" w:leader="none"/>
          <w:tab w:val="left" w:pos="6480" w:leader="none"/>
        </w:tabs>
        <w:ind w:hanging="2880" w:start="2160" w:end="0"/>
        <w:rPr/>
      </w:pPr>
      <w:r>
        <w:rPr>
          <w:sz w:val="20"/>
        </w:rPr>
        <w:t>Re:</w:t>
        <w:tab/>
        <w:t>Special Terms and Conditions for SO</w:t>
      </w:r>
      <w:r>
        <w:rPr>
          <w:sz w:val="20"/>
          <w:vertAlign w:val="subscript"/>
        </w:rPr>
        <w:t>2</w:t>
      </w:r>
      <w:r>
        <w:rPr>
          <w:sz w:val="20"/>
        </w:rPr>
        <w:t xml:space="preserve"> Emission Allowance Purchase and Sale Contract</w:t>
      </w:r>
    </w:p>
    <w:p>
      <w:pPr>
        <w:pStyle w:val="Normal"/>
        <w:tabs>
          <w:tab w:val="clear" w:pos="720"/>
          <w:tab w:val="left" w:pos="2160" w:leader="none"/>
          <w:tab w:val="left" w:pos="6480" w:leader="none"/>
        </w:tabs>
        <w:ind w:start="-720" w:end="0"/>
        <w:rPr>
          <w:sz w:val="20"/>
        </w:rPr>
      </w:pPr>
      <w:r>
        <w:rPr>
          <w:sz w:val="20"/>
        </w:rPr>
        <w:t>Contract No.:</w:t>
        <w:tab/>
        <w:t xml:space="preserve">EnronEAuction Transaction No. </w:t>
      </w:r>
    </w:p>
    <w:p>
      <w:pPr>
        <w:pStyle w:val="BodyTextIndent"/>
        <w:rPr/>
      </w:pPr>
      <w:r>
        <w:rPr/>
      </w:r>
    </w:p>
    <w:p>
      <w:pPr>
        <w:pStyle w:val="BodyTextIndent"/>
        <w:rPr/>
      </w:pPr>
      <w:r>
        <w:rPr/>
        <w:tab/>
      </w:r>
      <w:r>
        <w:rPr>
          <w:color w:val="000000"/>
          <w:spacing w:val="-2"/>
        </w:rPr>
        <w:t xml:space="preserve">This confirmation evidences the terms of the binding </w:t>
      </w:r>
      <w:r>
        <w:rPr>
          <w:b/>
          <w:color w:val="000000"/>
          <w:spacing w:val="-2"/>
        </w:rPr>
        <w:t>EnronEAuction</w:t>
      </w:r>
      <w:r>
        <w:rPr>
          <w:color w:val="000000"/>
          <w:spacing w:val="-2"/>
        </w:rPr>
        <w:t xml:space="preserve"> agreement on </w:t>
      </w:r>
      <w:r>
        <w:rPr>
          <w:color w:val="000000"/>
          <w:spacing w:val="-2"/>
        </w:rPr>
        <w:fldChar w:fldCharType="begin"/>
      </w:r>
      <w:r>
        <w:rPr>
          <w:spacing w:val="-2"/>
          <w:color w:val="000000"/>
        </w:rPr>
        <w:instrText xml:space="preserve"> MERGEFIELD DealDate </w:instrText>
      </w:r>
      <w:r>
        <w:rPr>
          <w:spacing w:val="-2"/>
          <w:color w:val="000000"/>
        </w:rPr>
        <w:fldChar w:fldCharType="separate"/>
      </w:r>
      <w:r>
        <w:rPr>
          <w:spacing w:val="-2"/>
          <w:color w:val="000000"/>
        </w:rPr>
        <w:t>«DealDate»</w:t>
      </w:r>
      <w:r>
        <w:rPr>
          <w:spacing w:val="-2"/>
          <w:color w:val="000000"/>
        </w:rPr>
        <w:fldChar w:fldCharType="end"/>
      </w:r>
      <w:r>
        <w:rPr>
          <w:color w:val="000000"/>
          <w:spacing w:val="-2"/>
        </w:rPr>
        <w:t>, regarding</w:t>
      </w:r>
      <w:r>
        <w:rPr>
          <w:color w:val="000000"/>
        </w:rPr>
        <w:t xml:space="preserve"> </w:t>
      </w:r>
      <w:r>
        <w:rPr/>
        <w:fldChar w:fldCharType="begin"/>
      </w:r>
      <w:r>
        <w:rPr/>
        <w:instrText xml:space="preserve"> MERGEFIELD CounterpartyName </w:instrText>
      </w:r>
      <w:r>
        <w:rPr/>
        <w:fldChar w:fldCharType="separate"/>
      </w:r>
      <w:r>
        <w:rPr/>
        <w:t>«CounterpartyName»</w:t>
      </w:r>
      <w:r>
        <w:rPr/>
        <w:fldChar w:fldCharType="end"/>
      </w:r>
      <w:r>
        <w:rPr>
          <w:color w:val="000000"/>
        </w:rPr>
        <w:t xml:space="preserve">'s </w:t>
      </w:r>
      <w:r>
        <w:rPr>
          <w:color w:val="000000"/>
        </w:rPr>
        <w:fldChar w:fldCharType="begin"/>
      </w:r>
      <w:r>
        <w:rPr>
          <w:color w:val="000000"/>
        </w:rPr>
        <w:instrText xml:space="preserve"> MERGEFIELD PurchaseSale </w:instrText>
      </w:r>
      <w:r>
        <w:rPr>
          <w:color w:val="000000"/>
        </w:rPr>
        <w:fldChar w:fldCharType="separate"/>
      </w:r>
      <w:r>
        <w:rPr>
          <w:color w:val="000000"/>
        </w:rPr>
        <w:t>«PurchaseSale»</w:t>
      </w:r>
      <w:r>
        <w:rPr>
          <w:color w:val="000000"/>
        </w:rPr>
        <w:fldChar w:fldCharType="end"/>
      </w:r>
      <w:r>
        <w:rPr>
          <w:color w:val="000000"/>
        </w:rPr>
        <w:t xml:space="preserve"> </w:t>
      </w:r>
      <w:r>
        <w:rPr>
          <w:color w:val="000000"/>
          <w:spacing w:val="-2"/>
        </w:rPr>
        <w:t>Enron North America Corp. ("ENA") of the Commodity described below.  The following terms (also referred to as the "Special Terms and Conditions"), the rules for Enron's EAuction of SO</w:t>
      </w:r>
      <w:r>
        <w:rPr>
          <w:color w:val="000000"/>
          <w:spacing w:val="-2"/>
          <w:vertAlign w:val="subscript"/>
        </w:rPr>
        <w:t>2</w:t>
      </w:r>
      <w:r>
        <w:rPr>
          <w:color w:val="000000"/>
          <w:spacing w:val="-2"/>
        </w:rPr>
        <w:t xml:space="preserve"> Emission Allowances ("Rules") EnronEAuction General Terms and Conditions for SO</w:t>
      </w:r>
      <w:r>
        <w:rPr>
          <w:color w:val="000000"/>
          <w:spacing w:val="-2"/>
          <w:vertAlign w:val="subscript"/>
        </w:rPr>
        <w:t>2</w:t>
      </w:r>
      <w:r>
        <w:rPr>
          <w:color w:val="000000"/>
          <w:spacing w:val="-2"/>
        </w:rPr>
        <w:t xml:space="preserve"> Emission Allowance Transactions ("General Terms and Conditions") which Counterparty accepted on</w:t>
      </w:r>
      <w:r>
        <w:rPr>
          <w:color w:val="0000FF"/>
          <w:spacing w:val="-2"/>
        </w:rPr>
        <w:t xml:space="preserve"> </w:t>
      </w:r>
      <w:r>
        <w:rPr>
          <w:color w:val="000000"/>
          <w:spacing w:val="-2"/>
        </w:rPr>
        <w:fldChar w:fldCharType="begin"/>
      </w:r>
      <w:r>
        <w:rPr>
          <w:spacing w:val="-2"/>
          <w:color w:val="000000"/>
        </w:rPr>
        <w:instrText xml:space="preserve"> MERGEFIELD DealDate </w:instrText>
      </w:r>
      <w:r>
        <w:rPr>
          <w:spacing w:val="-2"/>
          <w:color w:val="000000"/>
        </w:rPr>
        <w:fldChar w:fldCharType="separate"/>
      </w:r>
      <w:r>
        <w:rPr>
          <w:spacing w:val="-2"/>
          <w:color w:val="000000"/>
        </w:rPr>
        <w:t>«DealDate»</w:t>
      </w:r>
      <w:r>
        <w:rPr>
          <w:spacing w:val="-2"/>
          <w:color w:val="000000"/>
        </w:rPr>
        <w:fldChar w:fldCharType="end"/>
      </w:r>
      <w:r>
        <w:rPr>
          <w:color w:val="000000"/>
          <w:spacing w:val="-2"/>
        </w:rPr>
        <w:t xml:space="preserve">, and certain Electronic Trading Agreement ("ETA") or EnronEAuction Transactions Agreement ("ATA"), executed between ENA </w:t>
      </w:r>
      <w:r>
        <w:rPr>
          <w:spacing w:val="-2"/>
        </w:rPr>
        <w:t>and</w:t>
      </w:r>
      <w:r>
        <w:rPr>
          <w:color w:val="FF0000"/>
          <w:spacing w:val="-2"/>
        </w:rPr>
        <w:t xml:space="preserve"> </w:t>
      </w:r>
      <w:r>
        <w:rPr/>
        <w:fldChar w:fldCharType="begin"/>
      </w:r>
      <w:r>
        <w:rPr/>
        <w:instrText xml:space="preserve"> MERGEFIELD CounterpartyName </w:instrText>
      </w:r>
      <w:r>
        <w:rPr/>
        <w:fldChar w:fldCharType="separate"/>
      </w:r>
      <w:r>
        <w:rPr/>
        <w:t>«CounterpartyName»</w:t>
      </w:r>
      <w:r>
        <w:rPr/>
        <w:fldChar w:fldCharType="end"/>
      </w:r>
      <w:r>
        <w:rPr/>
        <w:t>, together</w:t>
      </w:r>
      <w:r>
        <w:rPr>
          <w:color w:val="000000"/>
          <w:spacing w:val="-2"/>
        </w:rPr>
        <w:t xml:space="preserve"> constitute all of the terms of the binding agreement between the parties regarding this transaction (this "Agreement").  </w:t>
      </w:r>
      <w:r>
        <w:rPr>
          <w:b/>
          <w:color w:val="000000"/>
          <w:spacing w:val="-2"/>
        </w:rPr>
        <w:t>Any other terms and conditions are objected to and shall not be binding upon ENA.</w:t>
      </w:r>
    </w:p>
    <w:p>
      <w:pPr>
        <w:pStyle w:val="Normal"/>
        <w:tabs>
          <w:tab w:val="clear" w:pos="720"/>
          <w:tab w:val="left" w:pos="6480" w:leader="none"/>
        </w:tabs>
        <w:rPr/>
      </w:pPr>
      <w:r>
        <w:rPr/>
      </w:r>
    </w:p>
    <w:p>
      <w:pPr>
        <w:pStyle w:val="BodyTextIndent"/>
        <w:rPr/>
      </w:pPr>
      <w:r>
        <w:rPr/>
      </w:r>
    </w:p>
    <w:tbl>
      <w:tblPr>
        <w:tblW w:w="14850" w:type="dxa"/>
        <w:jc w:val="start"/>
        <w:tblInd w:w="-612" w:type="dxa"/>
        <w:tblLayout w:type="fixed"/>
        <w:tblCellMar>
          <w:top w:w="0" w:type="dxa"/>
          <w:start w:w="108" w:type="dxa"/>
          <w:bottom w:w="0" w:type="dxa"/>
          <w:end w:w="108" w:type="dxa"/>
        </w:tblCellMar>
      </w:tblPr>
      <w:tblGrid>
        <w:gridCol w:w="4590"/>
        <w:gridCol w:w="5130"/>
        <w:gridCol w:w="5130"/>
      </w:tblGrid>
      <w:tr>
        <w:trPr/>
        <w:tc>
          <w:tcPr>
            <w:tcW w:w="4590" w:type="dxa"/>
            <w:tcBorders/>
          </w:tcPr>
          <w:p>
            <w:pPr>
              <w:pStyle w:val="BodyTextIndent"/>
              <w:tabs>
                <w:tab w:val="clear" w:pos="90"/>
                <w:tab w:val="clear" w:pos="2160"/>
                <w:tab w:val="clear" w:pos="6480"/>
                <w:tab w:val="left" w:pos="-1638" w:leader="none"/>
              </w:tabs>
              <w:ind w:start="-108" w:end="-216"/>
              <w:rPr/>
            </w:pPr>
            <w:r>
              <w:rPr>
                <w:caps/>
              </w:rPr>
              <w:t>Trade Date</w:t>
            </w:r>
            <w:r>
              <w:rPr/>
              <w:t>:</w:t>
            </w:r>
          </w:p>
        </w:tc>
        <w:tc>
          <w:tcPr>
            <w:tcW w:w="5130" w:type="dxa"/>
            <w:tcBorders/>
          </w:tcPr>
          <w:p>
            <w:pPr>
              <w:pStyle w:val="BodyTextIndent"/>
              <w:tabs>
                <w:tab w:val="clear" w:pos="90"/>
                <w:tab w:val="clear" w:pos="2160"/>
                <w:tab w:val="clear" w:pos="6480"/>
              </w:tabs>
              <w:ind w:start="-108" w:end="-18"/>
              <w:rPr>
                <w:color w:val="000000"/>
                <w:spacing w:val="-2"/>
              </w:rPr>
            </w:pPr>
            <w:r>
              <w:rPr>
                <w:color w:val="000000"/>
                <w:spacing w:val="-2"/>
              </w:rPr>
              <w:fldChar w:fldCharType="begin"/>
            </w:r>
            <w:r>
              <w:rPr>
                <w:spacing w:val="-2"/>
                <w:color w:val="000000"/>
              </w:rPr>
              <w:instrText xml:space="preserve"> MERGEFIELD DealDate </w:instrText>
            </w:r>
            <w:r>
              <w:rPr>
                <w:spacing w:val="-2"/>
                <w:color w:val="000000"/>
              </w:rPr>
              <w:fldChar w:fldCharType="separate"/>
            </w:r>
            <w:r>
              <w:rPr>
                <w:spacing w:val="-2"/>
                <w:color w:val="000000"/>
              </w:rPr>
              <w:t>«DealDate»</w:t>
            </w:r>
            <w:r>
              <w:rPr>
                <w:spacing w:val="-2"/>
                <w:color w:val="000000"/>
              </w:rPr>
              <w:fldChar w:fldCharType="end"/>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SELLER:</w:t>
            </w:r>
          </w:p>
        </w:tc>
        <w:tc>
          <w:tcPr>
            <w:tcW w:w="5130" w:type="dxa"/>
            <w:tcBorders/>
          </w:tcPr>
          <w:p>
            <w:pPr>
              <w:pStyle w:val="BodyTextIndent"/>
              <w:tabs>
                <w:tab w:val="clear" w:pos="90"/>
                <w:tab w:val="clear" w:pos="2160"/>
                <w:tab w:val="clear" w:pos="6480"/>
              </w:tabs>
              <w:ind w:start="-90" w:end="-18"/>
              <w:rPr/>
            </w:pPr>
            <w:r>
              <w:rPr/>
              <w:fldChar w:fldCharType="begin"/>
            </w:r>
            <w:r>
              <w:rPr/>
              <w:instrText xml:space="preserve"> MERGEFIELD SellerName </w:instrText>
            </w:r>
            <w:r>
              <w:rPr/>
              <w:fldChar w:fldCharType="separate"/>
            </w:r>
            <w:r>
              <w:rPr/>
              <w:t>«SellerName»</w:t>
            </w:r>
            <w:r>
              <w:rPr/>
              <w:fldChar w:fldCharType="end"/>
            </w:r>
          </w:p>
          <w:p>
            <w:pPr>
              <w:pStyle w:val="BodyTextIndent"/>
              <w:tabs>
                <w:tab w:val="clear" w:pos="90"/>
                <w:tab w:val="clear" w:pos="2160"/>
                <w:tab w:val="clear" w:pos="6480"/>
              </w:tabs>
              <w:ind w:start="-90" w:end="-18"/>
              <w:rPr/>
            </w:pPr>
            <w:r>
              <w:rPr/>
              <w:fldChar w:fldCharType="begin"/>
            </w:r>
            <w:r>
              <w:rPr/>
              <w:instrText xml:space="preserve"> MERGEFIELD SellerAddr1 </w:instrText>
            </w:r>
            <w:r>
              <w:rPr/>
              <w:fldChar w:fldCharType="separate"/>
            </w:r>
            <w:r>
              <w:rPr/>
              <w:t>«SellerAddr1»</w:t>
            </w:r>
            <w:r>
              <w:rPr/>
              <w:fldChar w:fldCharType="end"/>
            </w:r>
          </w:p>
          <w:p>
            <w:pPr>
              <w:pStyle w:val="BodyTextIndent"/>
              <w:tabs>
                <w:tab w:val="clear" w:pos="90"/>
                <w:tab w:val="clear" w:pos="2160"/>
                <w:tab w:val="clear" w:pos="6480"/>
              </w:tabs>
              <w:ind w:start="-90" w:end="-18"/>
              <w:rPr/>
            </w:pPr>
            <w:r>
              <w:rPr/>
              <w:fldChar w:fldCharType="begin"/>
            </w:r>
            <w:r>
              <w:rPr/>
              <w:instrText xml:space="preserve"> MERGEFIELD SellerAddr2 </w:instrText>
            </w:r>
            <w:r>
              <w:rPr/>
              <w:fldChar w:fldCharType="separate"/>
            </w:r>
            <w:r>
              <w:rPr/>
              <w:t>«SellerAddr2»</w:t>
            </w:r>
            <w:r>
              <w:rPr/>
              <w:fldChar w:fldCharType="end"/>
            </w:r>
          </w:p>
          <w:p>
            <w:pPr>
              <w:pStyle w:val="BodyTextIndent"/>
              <w:tabs>
                <w:tab w:val="clear" w:pos="90"/>
                <w:tab w:val="clear" w:pos="2160"/>
                <w:tab w:val="clear" w:pos="6480"/>
              </w:tabs>
              <w:ind w:start="-90" w:end="-18"/>
              <w:rPr/>
            </w:pPr>
            <w:r>
              <w:rPr/>
              <w:fldChar w:fldCharType="begin"/>
            </w:r>
            <w:r>
              <w:rPr/>
              <w:instrText xml:space="preserve"> MERGEFIELD SellerAddrCity </w:instrText>
            </w:r>
            <w:r>
              <w:rPr/>
              <w:fldChar w:fldCharType="separate"/>
            </w:r>
            <w:r>
              <w:rPr/>
              <w:t>«SellerAddrCity»</w:t>
            </w:r>
            <w:r>
              <w:rPr/>
              <w:fldChar w:fldCharType="end"/>
            </w:r>
            <w:r>
              <w:rPr/>
              <w:t xml:space="preserve">, </w:t>
            </w:r>
            <w:r>
              <w:rPr/>
              <w:fldChar w:fldCharType="begin"/>
            </w:r>
            <w:r>
              <w:rPr/>
              <w:instrText xml:space="preserve"> MERGEFIELD SellerAddrState </w:instrText>
            </w:r>
            <w:r>
              <w:rPr/>
              <w:fldChar w:fldCharType="separate"/>
            </w:r>
            <w:r>
              <w:rPr/>
              <w:t>«SellerAddrState»</w:t>
            </w:r>
            <w:r>
              <w:rPr/>
              <w:fldChar w:fldCharType="end"/>
            </w:r>
            <w:r>
              <w:rPr/>
              <w:t xml:space="preserve"> </w:t>
            </w:r>
            <w:r>
              <w:rPr/>
              <w:fldChar w:fldCharType="begin"/>
            </w:r>
            <w:r>
              <w:rPr/>
              <w:instrText xml:space="preserve"> MERGEFIELD SellerAddrZip </w:instrText>
            </w:r>
            <w:r>
              <w:rPr/>
              <w:fldChar w:fldCharType="separate"/>
            </w:r>
            <w:r>
              <w:rPr/>
              <w:t>«SellerAddrZip»</w:t>
            </w:r>
            <w:r>
              <w:rPr/>
              <w:fldChar w:fldCharType="end"/>
            </w:r>
          </w:p>
          <w:p>
            <w:pPr>
              <w:pStyle w:val="BodyTextIndent"/>
              <w:tabs>
                <w:tab w:val="clear" w:pos="90"/>
                <w:tab w:val="clear" w:pos="2160"/>
                <w:tab w:val="clear" w:pos="6480"/>
              </w:tabs>
              <w:ind w:start="-90" w:end="-18"/>
              <w:rPr/>
            </w:pPr>
            <w:r>
              <w:rPr/>
              <w:t xml:space="preserve">Attn:  </w:t>
            </w:r>
            <w:r>
              <w:rPr/>
              <w:fldChar w:fldCharType="begin"/>
            </w:r>
            <w:r>
              <w:rPr/>
              <w:instrText xml:space="preserve"> MERGEFIELD SellerAttention </w:instrText>
            </w:r>
            <w:r>
              <w:rPr/>
              <w:fldChar w:fldCharType="separate"/>
            </w:r>
            <w:r>
              <w:rPr/>
              <w:t>«SellerAttention»</w:t>
            </w:r>
            <w:r>
              <w:rPr/>
              <w:fldChar w:fldCharType="end"/>
            </w:r>
          </w:p>
          <w:p>
            <w:pPr>
              <w:pStyle w:val="BodyTextIndent"/>
              <w:tabs>
                <w:tab w:val="clear" w:pos="90"/>
                <w:tab w:val="clear" w:pos="2160"/>
                <w:tab w:val="clear" w:pos="6480"/>
              </w:tabs>
              <w:ind w:start="-90" w:end="-18"/>
              <w:rPr/>
            </w:pPr>
            <w:r>
              <w:rPr/>
              <w:t xml:space="preserve">Fax No.:  </w:t>
            </w:r>
            <w:r>
              <w:rPr/>
              <w:fldChar w:fldCharType="begin"/>
            </w:r>
            <w:r>
              <w:rPr/>
              <w:instrText xml:space="preserve"> MERGEFIELD SellerFax </w:instrText>
            </w:r>
            <w:r>
              <w:rPr/>
              <w:fldChar w:fldCharType="separate"/>
            </w:r>
            <w:r>
              <w:rPr/>
              <w:t>«SellerFax»</w:t>
            </w:r>
            <w:r>
              <w:rPr/>
              <w:fldChar w:fldCharType="end"/>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90" w:end="-18"/>
              <w:rPr/>
            </w:pPr>
            <w:r>
              <w:rPr/>
            </w:r>
          </w:p>
          <w:p>
            <w:pPr>
              <w:pStyle w:val="BodyTextIndent"/>
              <w:tabs>
                <w:tab w:val="clear" w:pos="90"/>
                <w:tab w:val="clear" w:pos="2160"/>
                <w:tab w:val="clear" w:pos="6480"/>
                <w:tab w:val="left" w:pos="-1638" w:leader="none"/>
              </w:tabs>
              <w:ind w:start="-108" w:end="-216"/>
              <w:rPr/>
            </w:pPr>
            <w:r>
              <w:rPr/>
            </w:r>
          </w:p>
        </w:tc>
        <w:tc>
          <w:tcPr>
            <w:tcW w:w="5130" w:type="dxa"/>
            <w:tcBorders/>
          </w:tcPr>
          <w:p>
            <w:pPr>
              <w:pStyle w:val="BodyTextIndent"/>
              <w:tabs>
                <w:tab w:val="clear" w:pos="90"/>
                <w:tab w:val="clear" w:pos="2160"/>
                <w:tab w:val="clear" w:pos="6480"/>
              </w:tabs>
              <w:snapToGrid w:val="false"/>
              <w:spacing w:before="0" w:after="120"/>
              <w:ind w:start="-115" w:end="-14"/>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BUYER:</w:t>
              <w:tab/>
            </w:r>
          </w:p>
        </w:tc>
        <w:tc>
          <w:tcPr>
            <w:tcW w:w="5130" w:type="dxa"/>
            <w:tcBorders/>
          </w:tcPr>
          <w:p>
            <w:pPr>
              <w:pStyle w:val="BodyTextIndent"/>
              <w:tabs>
                <w:tab w:val="clear" w:pos="90"/>
                <w:tab w:val="clear" w:pos="2160"/>
                <w:tab w:val="clear" w:pos="6480"/>
              </w:tabs>
              <w:ind w:firstLine="18" w:start="-108" w:end="-18"/>
              <w:rPr/>
            </w:pPr>
            <w:r>
              <w:rPr/>
              <w:fldChar w:fldCharType="begin"/>
            </w:r>
            <w:r>
              <w:rPr/>
              <w:instrText xml:space="preserve"> MERGEFIELD BuyerName </w:instrText>
            </w:r>
            <w:r>
              <w:rPr/>
              <w:fldChar w:fldCharType="separate"/>
            </w:r>
            <w:r>
              <w:rPr/>
              <w:t>«BuyerName»</w:t>
            </w:r>
            <w:r>
              <w:rPr/>
              <w:fldChar w:fldCharType="end"/>
            </w:r>
          </w:p>
          <w:p>
            <w:pPr>
              <w:pStyle w:val="BodyTextIndent"/>
              <w:tabs>
                <w:tab w:val="clear" w:pos="90"/>
                <w:tab w:val="clear" w:pos="2160"/>
                <w:tab w:val="clear" w:pos="6480"/>
              </w:tabs>
              <w:ind w:start="-90" w:end="-18"/>
              <w:rPr/>
            </w:pPr>
            <w:r>
              <w:rPr/>
              <w:fldChar w:fldCharType="begin"/>
            </w:r>
            <w:r>
              <w:rPr/>
              <w:instrText xml:space="preserve"> MERGEFIELD BuyerAddr1 </w:instrText>
            </w:r>
            <w:r>
              <w:rPr/>
              <w:fldChar w:fldCharType="separate"/>
            </w:r>
            <w:r>
              <w:rPr/>
              <w:t>«BuyerAddr1»</w:t>
            </w:r>
            <w:r>
              <w:rPr/>
              <w:fldChar w:fldCharType="end"/>
            </w:r>
          </w:p>
          <w:p>
            <w:pPr>
              <w:pStyle w:val="BodyTextIndent"/>
              <w:tabs>
                <w:tab w:val="clear" w:pos="90"/>
                <w:tab w:val="clear" w:pos="2160"/>
                <w:tab w:val="clear" w:pos="6480"/>
              </w:tabs>
              <w:ind w:start="-90" w:end="-18"/>
              <w:rPr/>
            </w:pPr>
            <w:r>
              <w:rPr/>
              <w:fldChar w:fldCharType="begin"/>
            </w:r>
            <w:r>
              <w:rPr/>
              <w:instrText xml:space="preserve"> MERGEFIELD BuyerAddr2 </w:instrText>
            </w:r>
            <w:r>
              <w:rPr/>
              <w:fldChar w:fldCharType="separate"/>
            </w:r>
            <w:r>
              <w:rPr/>
              <w:t>«BuyerAddr2»</w:t>
            </w:r>
            <w:r>
              <w:rPr/>
              <w:fldChar w:fldCharType="end"/>
            </w:r>
          </w:p>
          <w:p>
            <w:pPr>
              <w:pStyle w:val="BodyTextIndent"/>
              <w:tabs>
                <w:tab w:val="clear" w:pos="90"/>
                <w:tab w:val="clear" w:pos="2160"/>
                <w:tab w:val="clear" w:pos="6480"/>
              </w:tabs>
              <w:ind w:start="-90" w:end="-18"/>
              <w:rPr/>
            </w:pPr>
            <w:r>
              <w:rPr/>
              <w:fldChar w:fldCharType="begin"/>
            </w:r>
            <w:r>
              <w:rPr/>
              <w:instrText xml:space="preserve"> MERGEFIELD BuyerAddrCity </w:instrText>
            </w:r>
            <w:r>
              <w:rPr/>
              <w:fldChar w:fldCharType="separate"/>
            </w:r>
            <w:r>
              <w:rPr/>
              <w:t>«BuyerAddrCity»</w:t>
            </w:r>
            <w:r>
              <w:rPr/>
              <w:fldChar w:fldCharType="end"/>
            </w:r>
            <w:r>
              <w:rPr/>
              <w:t xml:space="preserve">, </w:t>
            </w:r>
            <w:r>
              <w:rPr/>
              <w:fldChar w:fldCharType="begin"/>
            </w:r>
            <w:r>
              <w:rPr/>
              <w:instrText xml:space="preserve"> MERGEFIELD BuyerAddrState </w:instrText>
            </w:r>
            <w:r>
              <w:rPr/>
              <w:fldChar w:fldCharType="separate"/>
            </w:r>
            <w:r>
              <w:rPr/>
              <w:t>«BuyerAddrState»</w:t>
            </w:r>
            <w:r>
              <w:rPr/>
              <w:fldChar w:fldCharType="end"/>
            </w:r>
            <w:r>
              <w:rPr/>
              <w:t xml:space="preserve"> </w:t>
            </w:r>
            <w:r>
              <w:rPr/>
              <w:fldChar w:fldCharType="begin"/>
            </w:r>
            <w:r>
              <w:rPr/>
              <w:instrText xml:space="preserve"> MERGEFIELD BuyerAddrZip </w:instrText>
            </w:r>
            <w:r>
              <w:rPr/>
              <w:fldChar w:fldCharType="separate"/>
            </w:r>
            <w:r>
              <w:rPr/>
              <w:t>«BuyerAddrZip»</w:t>
            </w:r>
            <w:r>
              <w:rPr/>
              <w:fldChar w:fldCharType="end"/>
            </w:r>
          </w:p>
          <w:p>
            <w:pPr>
              <w:pStyle w:val="BodyTextIndent"/>
              <w:tabs>
                <w:tab w:val="clear" w:pos="90"/>
                <w:tab w:val="clear" w:pos="2160"/>
                <w:tab w:val="clear" w:pos="6480"/>
              </w:tabs>
              <w:ind w:start="-90" w:end="-18"/>
              <w:rPr/>
            </w:pPr>
            <w:r>
              <w:rPr/>
              <w:t xml:space="preserve">Attn:  </w:t>
            </w:r>
            <w:r>
              <w:rPr/>
              <w:fldChar w:fldCharType="begin"/>
            </w:r>
            <w:r>
              <w:rPr/>
              <w:instrText xml:space="preserve"> MERGEFIELD BuyerAttention </w:instrText>
            </w:r>
            <w:r>
              <w:rPr/>
              <w:fldChar w:fldCharType="separate"/>
            </w:r>
            <w:r>
              <w:rPr/>
              <w:t>«BuyerAttention»</w:t>
            </w:r>
            <w:r>
              <w:rPr/>
              <w:fldChar w:fldCharType="end"/>
            </w:r>
          </w:p>
          <w:p>
            <w:pPr>
              <w:pStyle w:val="BodyTextIndent"/>
              <w:tabs>
                <w:tab w:val="clear" w:pos="90"/>
                <w:tab w:val="clear" w:pos="2160"/>
                <w:tab w:val="clear" w:pos="6480"/>
              </w:tabs>
              <w:ind w:start="-90" w:end="-18"/>
              <w:rPr/>
            </w:pPr>
            <w:r>
              <w:rPr/>
              <w:t xml:space="preserve">Fax No.:  </w:t>
            </w:r>
            <w:r>
              <w:rPr/>
              <w:fldChar w:fldCharType="begin"/>
            </w:r>
            <w:r>
              <w:rPr/>
              <w:instrText xml:space="preserve"> MERGEFIELD BuyerFax </w:instrText>
            </w:r>
            <w:r>
              <w:rPr/>
              <w:fldChar w:fldCharType="separate"/>
            </w:r>
            <w:r>
              <w:rPr/>
              <w:t>«BuyerFax»</w:t>
            </w:r>
            <w:r>
              <w:rPr/>
              <w:fldChar w:fldCharType="end"/>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spacing w:before="0" w:after="120"/>
              <w:ind w:start="-115" w:end="-14"/>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COMMODITY:</w:t>
            </w:r>
          </w:p>
        </w:tc>
        <w:tc>
          <w:tcPr>
            <w:tcW w:w="5130" w:type="dxa"/>
            <w:tcBorders/>
          </w:tcPr>
          <w:p>
            <w:pPr>
              <w:pStyle w:val="BodyTextIndent"/>
              <w:tabs>
                <w:tab w:val="clear" w:pos="90"/>
                <w:tab w:val="clear" w:pos="2160"/>
                <w:tab w:val="clear" w:pos="6480"/>
              </w:tabs>
              <w:ind w:start="-108" w:end="-18"/>
              <w:rPr/>
            </w:pPr>
            <w:r>
              <w:rPr/>
              <w:t>SO</w:t>
            </w:r>
            <w:r>
              <w:rPr>
                <w:vertAlign w:val="subscript"/>
              </w:rPr>
              <w:t>2</w:t>
            </w:r>
            <w:r>
              <w:rPr/>
              <w:t xml:space="preserve"> Emission Allowances. </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VINTAGE YEAR(S):</w:t>
            </w:r>
          </w:p>
        </w:tc>
        <w:tc>
          <w:tcPr>
            <w:tcW w:w="5130" w:type="dxa"/>
            <w:tcBorders/>
          </w:tcPr>
          <w:p>
            <w:pPr>
              <w:pStyle w:val="BodyTextIndent"/>
              <w:tabs>
                <w:tab w:val="clear" w:pos="90"/>
                <w:tab w:val="clear" w:pos="2160"/>
                <w:tab w:val="clear" w:pos="6480"/>
              </w:tabs>
              <w:ind w:start="-108" w:end="-18"/>
              <w:rPr/>
            </w:pPr>
            <w:r>
              <w:rPr/>
              <w:t>2000 Vintage or earlier (as determined by Seller) or 2007 Vintage.</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CONTRACT QUANTITY:</w:t>
            </w:r>
          </w:p>
        </w:tc>
        <w:tc>
          <w:tcPr>
            <w:tcW w:w="5130" w:type="dxa"/>
            <w:tcBorders/>
          </w:tcPr>
          <w:p>
            <w:pPr>
              <w:pStyle w:val="BodyTextIndent"/>
              <w:tabs>
                <w:tab w:val="clear" w:pos="90"/>
                <w:tab w:val="clear" w:pos="2160"/>
                <w:tab w:val="clear" w:pos="6480"/>
              </w:tabs>
              <w:ind w:start="-108" w:end="-18"/>
              <w:rPr/>
            </w:pPr>
            <w:r>
              <w:rPr/>
              <w:fldChar w:fldCharType="begin"/>
            </w:r>
            <w:r>
              <w:rPr/>
              <w:instrText xml:space="preserve"> MERGEFIELD SO2Quantity </w:instrText>
            </w:r>
            <w:r>
              <w:rPr/>
              <w:fldChar w:fldCharType="separate"/>
            </w:r>
            <w:r>
              <w:rPr/>
              <w:t>«SO2Quantity»</w:t>
            </w:r>
            <w:r>
              <w:rPr/>
              <w:fldChar w:fldCharType="end"/>
            </w:r>
            <w:r>
              <w:rPr/>
              <w:t xml:space="preserve"> </w:t>
            </w:r>
            <w:r>
              <w:rPr/>
              <w:t>SO</w:t>
            </w:r>
            <w:r>
              <w:rPr>
                <w:vertAlign w:val="subscript"/>
              </w:rPr>
              <w:t>2</w:t>
            </w:r>
            <w:r>
              <w:rPr/>
              <w:t xml:space="preserve"> Emission Allowances in total.</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PURCHASE PRICE:</w:t>
              <w:tab/>
              <w:tab/>
            </w:r>
          </w:p>
        </w:tc>
        <w:tc>
          <w:tcPr>
            <w:tcW w:w="5130" w:type="dxa"/>
            <w:tcBorders/>
          </w:tcPr>
          <w:p>
            <w:pPr>
              <w:pStyle w:val="BodyTextIndent"/>
              <w:tabs>
                <w:tab w:val="clear" w:pos="90"/>
                <w:tab w:val="clear" w:pos="2160"/>
                <w:tab w:val="clear" w:pos="6480"/>
              </w:tabs>
              <w:ind w:start="-108" w:end="-18"/>
              <w:rPr/>
            </w:pPr>
            <w:r>
              <w:rPr/>
              <w:fldChar w:fldCharType="begin"/>
            </w:r>
            <w:r>
              <w:rPr/>
              <w:instrText xml:space="preserve"> MERGEFIELD SO2Price </w:instrText>
            </w:r>
            <w:r>
              <w:rPr/>
              <w:fldChar w:fldCharType="separate"/>
            </w:r>
            <w:r>
              <w:rPr/>
              <w:t>«SO2Price»</w:t>
            </w:r>
            <w:r>
              <w:rPr/>
              <w:fldChar w:fldCharType="end"/>
            </w:r>
            <w:r>
              <w:rPr/>
              <w:t xml:space="preserve"> </w:t>
            </w:r>
            <w:r>
              <w:rPr/>
              <w:t>per SO</w:t>
            </w:r>
            <w:r>
              <w:rPr>
                <w:vertAlign w:val="subscript"/>
              </w:rPr>
              <w:t>2</w:t>
            </w:r>
            <w:r>
              <w:rPr/>
              <w:t xml:space="preserve"> Emission Allowance (</w:t>
            </w:r>
            <w:r>
              <w:rPr/>
              <w:fldChar w:fldCharType="begin"/>
            </w:r>
            <w:r>
              <w:rPr/>
              <w:instrText xml:space="preserve"> MERGEFIELD SO2TotalPrice </w:instrText>
            </w:r>
            <w:r>
              <w:rPr/>
              <w:fldChar w:fldCharType="separate"/>
            </w:r>
            <w:r>
              <w:rPr/>
              <w:t>«SO2TotalPrice»</w:t>
            </w:r>
            <w:r>
              <w:rPr/>
              <w:fldChar w:fldCharType="end"/>
            </w:r>
            <w:r>
              <w:rPr/>
              <w:t xml:space="preserve"> in total).</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15" w:end="-216"/>
              <w:rPr/>
            </w:pPr>
            <w:r>
              <w:rPr/>
            </w:r>
          </w:p>
        </w:tc>
        <w:tc>
          <w:tcPr>
            <w:tcW w:w="5130" w:type="dxa"/>
            <w:tcBorders/>
          </w:tcPr>
          <w:p>
            <w:pPr>
              <w:pStyle w:val="BodyTextIndent"/>
              <w:tabs>
                <w:tab w:val="clear" w:pos="90"/>
                <w:tab w:val="clear" w:pos="2160"/>
                <w:tab w:val="clear" w:pos="6480"/>
              </w:tabs>
              <w:snapToGrid w:val="false"/>
              <w:ind w:start="-115"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15" w:end="-216"/>
              <w:rPr/>
            </w:pPr>
            <w:r>
              <w:rPr/>
              <w:t>DELIVERY &amp; DOCUMENTATION:</w:t>
            </w:r>
          </w:p>
        </w:tc>
        <w:tc>
          <w:tcPr>
            <w:tcW w:w="5130" w:type="dxa"/>
            <w:tcBorders/>
          </w:tcPr>
          <w:p>
            <w:pPr>
              <w:pStyle w:val="BodyTextIndent"/>
              <w:tabs>
                <w:tab w:val="clear" w:pos="90"/>
                <w:tab w:val="clear" w:pos="2160"/>
                <w:tab w:val="clear" w:pos="6480"/>
              </w:tabs>
              <w:ind w:start="-115" w:end="-18"/>
              <w:rPr/>
            </w:pPr>
            <w:r>
              <w:rPr/>
              <w:t xml:space="preserve">On or before seven (7) Business Days after the Trade Date, Seller will deliver a fully executed Allowance Transfer Form (OMB No. 2060-0258) ("ATF") to the EPA transferring the Contract Quantity from Seller's account in the Allowance Tracking System to Buyer's account. </w:t>
            </w:r>
            <w:r>
              <w:rPr/>
              <w:fldChar w:fldCharType="begin"/>
            </w:r>
            <w:r>
              <w:rPr/>
              <w:instrText xml:space="preserve"> MERGEFIELD SO2BuyerProvision </w:instrText>
            </w:r>
            <w:r>
              <w:rPr/>
              <w:fldChar w:fldCharType="separate"/>
            </w:r>
            <w:r>
              <w:rPr/>
              <w:t>«SO2BuyerProvision»</w:t>
            </w:r>
            <w:r>
              <w:rPr/>
              <w:fldChar w:fldCharType="end"/>
            </w:r>
            <w:r>
              <w:rPr/>
              <w:t xml:space="preserve"> Documentation is to be submitted in accordance with the procedures of the EPA Acid Rain Division Allowance Tracking System.</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PAYMENT:</w:t>
            </w:r>
          </w:p>
        </w:tc>
        <w:tc>
          <w:tcPr>
            <w:tcW w:w="5130" w:type="dxa"/>
            <w:tcBorders/>
          </w:tcPr>
          <w:p>
            <w:pPr>
              <w:pStyle w:val="BodyTextIndent"/>
              <w:tabs>
                <w:tab w:val="clear" w:pos="90"/>
                <w:tab w:val="clear" w:pos="2160"/>
                <w:tab w:val="clear" w:pos="6480"/>
              </w:tabs>
              <w:ind w:start="-108" w:end="-18"/>
              <w:rPr/>
            </w:pPr>
            <w:r>
              <w:rPr/>
              <w:t>Payment shall be made by Buyer in immediately available funds (U.S. Dollars) by wire transfer to Seller's account specified below (or in such other form as reasonably requested by Seller) within three (3) Business Days of Delivery of the Contract Quantity.</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GOVERNING LAW:</w:t>
            </w:r>
          </w:p>
        </w:tc>
        <w:tc>
          <w:tcPr>
            <w:tcW w:w="5130" w:type="dxa"/>
            <w:tcBorders/>
          </w:tcPr>
          <w:p>
            <w:pPr>
              <w:pStyle w:val="BodyTextIndent"/>
              <w:tabs>
                <w:tab w:val="clear" w:pos="90"/>
                <w:tab w:val="clear" w:pos="2160"/>
                <w:tab w:val="clear" w:pos="6480"/>
              </w:tabs>
              <w:ind w:start="-108" w:end="-18"/>
              <w:rPr/>
            </w:pPr>
            <w:r>
              <w:rPr/>
              <w:t>New York.  It is agreed that this Transaction is enforceable as a "qualified financial contract" within the meaning of New York General Obligations Law § 5-701(b).</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s>
              <w:ind w:firstLine="18" w:start="-108" w:end="-126"/>
              <w:rPr/>
            </w:pPr>
            <w:r>
              <w:rPr/>
              <w:t>GENERAL TERMS &amp;</w:t>
            </w:r>
          </w:p>
          <w:p>
            <w:pPr>
              <w:pStyle w:val="BodyTextIndent"/>
              <w:tabs>
                <w:tab w:val="clear" w:pos="90"/>
                <w:tab w:val="clear" w:pos="2160"/>
                <w:tab w:val="clear" w:pos="6480"/>
                <w:tab w:val="left" w:pos="-1638" w:leader="none"/>
              </w:tabs>
              <w:ind w:firstLine="18" w:start="-108" w:end="-126"/>
              <w:rPr/>
            </w:pPr>
            <w:r>
              <w:rPr/>
              <w:t>CONDITIONS:</w:t>
            </w:r>
          </w:p>
        </w:tc>
        <w:tc>
          <w:tcPr>
            <w:tcW w:w="5130" w:type="dxa"/>
            <w:tcBorders/>
          </w:tcPr>
          <w:p>
            <w:pPr>
              <w:pStyle w:val="BodyTextIndent"/>
              <w:tabs>
                <w:tab w:val="clear" w:pos="90"/>
                <w:tab w:val="clear" w:pos="2160"/>
                <w:tab w:val="clear" w:pos="6480"/>
              </w:tabs>
              <w:snapToGrid w:val="false"/>
              <w:ind w:start="0" w:end="-18"/>
              <w:rPr/>
            </w:pPr>
            <w:r>
              <w:rPr/>
            </w:r>
          </w:p>
          <w:p>
            <w:pPr>
              <w:pStyle w:val="BodyTextIndent"/>
              <w:tabs>
                <w:tab w:val="clear" w:pos="90"/>
                <w:tab w:val="clear" w:pos="2160"/>
                <w:tab w:val="clear" w:pos="6480"/>
                <w:tab w:val="left" w:pos="-1638" w:leader="none"/>
              </w:tabs>
              <w:ind w:start="0" w:end="-18"/>
              <w:rPr/>
            </w:pPr>
            <w:r>
              <w:rPr/>
              <w:t>This Confirmation and Transaction are subject to the General Terms and Conditions which may be attached hereto and made a part hereof, and which are incorporated herein by reference regardless of whether they are attached.  All capitalized terms used herein shall have the meanings given to them in the General Terms and Conditions unless otherwise defined herein.</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s>
              <w:ind w:start="-108" w:end="0"/>
              <w:rPr>
                <w:highlight w:val="yellow"/>
              </w:rPr>
            </w:pPr>
            <w:r>
              <w:rPr>
                <w:highlight w:val="yellow"/>
              </w:rPr>
              <w:t xml:space="preserve">[CREDIT OR OTHER </w:t>
            </w:r>
          </w:p>
          <w:p>
            <w:pPr>
              <w:pStyle w:val="BodyTextIndent"/>
              <w:tabs>
                <w:tab w:val="clear" w:pos="90"/>
                <w:tab w:val="clear" w:pos="2160"/>
                <w:tab w:val="clear" w:pos="6480"/>
                <w:tab w:val="left" w:pos="-1638" w:leader="none"/>
              </w:tabs>
              <w:ind w:start="-108" w:end="-216"/>
              <w:rPr>
                <w:highlight w:val="yellow"/>
              </w:rPr>
            </w:pPr>
            <w:r>
              <w:rPr>
                <w:highlight w:val="yellow"/>
              </w:rPr>
              <w:t>SPECIAL PROVISIONS:</w:t>
            </w:r>
          </w:p>
        </w:tc>
        <w:tc>
          <w:tcPr>
            <w:tcW w:w="5130" w:type="dxa"/>
            <w:tcBorders/>
          </w:tcPr>
          <w:p>
            <w:pPr>
              <w:pStyle w:val="BodyTextIndent"/>
              <w:tabs>
                <w:tab w:val="clear" w:pos="90"/>
                <w:tab w:val="clear" w:pos="2160"/>
                <w:tab w:val="clear" w:pos="6480"/>
              </w:tabs>
              <w:ind w:start="-90" w:end="-18"/>
              <w:rPr>
                <w:highlight w:val="yellow"/>
              </w:rPr>
            </w:pPr>
            <w:r>
              <w:rPr>
                <w:highlight w:val="yellow"/>
              </w:rPr>
              <w:t>If (a) Buyer exceeds its credit limit with ENA; (b) ENA determines that the financial condition of Counterparty or Counterparty's guarantor (if any) has become impaired or unsatisfactory, whether or not ENA has granted credit to Counterparty under this Agreement or any other agreement; or (c) for any other reason ENA determines it necessary to obtain security or adequate assurances of Counterparty's financial responsibility, ENA may, in its sole discretion and upon notice to Counterparty, require Counterparty to provide ENA with satisfactory security for or adequate assurance of Counterparty performance.]</w:t>
            </w:r>
          </w:p>
          <w:p>
            <w:pPr>
              <w:pStyle w:val="BodyTextIndent"/>
              <w:tabs>
                <w:tab w:val="clear" w:pos="90"/>
                <w:tab w:val="clear" w:pos="2160"/>
                <w:tab w:val="clear" w:pos="6480"/>
                <w:tab w:val="left" w:pos="-1638" w:leader="none"/>
              </w:tabs>
              <w:ind w:start="-90" w:end="-18"/>
              <w:rPr>
                <w:highlight w:val="yellow"/>
              </w:rPr>
            </w:pPr>
            <w:r>
              <w:rPr>
                <w:highlight w:val="yellow"/>
              </w:rPr>
            </w:r>
          </w:p>
        </w:tc>
        <w:tc>
          <w:tcPr>
            <w:tcW w:w="5130" w:type="dxa"/>
            <w:tcBorders/>
            <w:tcMar>
              <w:start w:w="0" w:type="dxa"/>
              <w:end w:w="0" w:type="dxa"/>
            </w:tcMar>
          </w:tcPr>
          <w:p>
            <w:pPr>
              <w:pStyle w:val="Normal"/>
              <w:snapToGrid w:val="false"/>
              <w:rPr>
                <w:highlight w:val="yellow"/>
              </w:rPr>
            </w:pPr>
            <w:r>
              <w:rPr>
                <w:highlight w:val="yellow"/>
              </w:rPr>
            </w:r>
          </w:p>
        </w:tc>
      </w:tr>
    </w:tbl>
    <w:p>
      <w:pPr>
        <w:pStyle w:val="BodyTextIndent"/>
        <w:tabs>
          <w:tab w:val="left" w:pos="90" w:leader="none"/>
          <w:tab w:val="left" w:pos="810" w:leader="none"/>
          <w:tab w:val="left" w:pos="2160" w:leader="none"/>
          <w:tab w:val="left" w:pos="4320" w:leader="none"/>
          <w:tab w:val="left" w:pos="6480" w:leader="none"/>
        </w:tabs>
        <w:rPr/>
      </w:pPr>
      <w:r>
        <w:rPr/>
        <w:tab/>
        <w:t xml:space="preserve">  Please confirm that the foregoing correctly reflects the agreement between ENA and Counterparty as to this Transaction by timely returning an executed copy of this Confirmation by facsimile to ENA at the ENA fax number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  </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clear" w:pos="90"/>
          <w:tab w:val="clear" w:pos="2160"/>
          <w:tab w:val="clear" w:pos="6480"/>
          <w:tab w:val="left" w:pos="-2340" w:leader="none"/>
          <w:tab w:val="left" w:pos="-2250" w:leader="none"/>
        </w:tabs>
        <w:rPr/>
      </w:pPr>
      <w:r>
        <w:rPr/>
        <w:t>Sincerely,</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ab/>
        <w:tab/>
        <w:tab/>
        <w:tab/>
        <w:t xml:space="preserve">  </w:t>
      </w:r>
      <w:r>
        <w:rPr>
          <w:caps/>
        </w:rPr>
        <w:t>Confirmed</w:t>
      </w:r>
      <w:r>
        <w:rPr/>
        <w:t>:</w:t>
      </w:r>
    </w:p>
    <w:tbl>
      <w:tblPr>
        <w:tblW w:w="9504" w:type="dxa"/>
        <w:jc w:val="start"/>
        <w:tblInd w:w="-612" w:type="dxa"/>
        <w:tblLayout w:type="fixed"/>
        <w:tblCellMar>
          <w:top w:w="0" w:type="dxa"/>
          <w:start w:w="108" w:type="dxa"/>
          <w:bottom w:w="0" w:type="dxa"/>
          <w:end w:w="108" w:type="dxa"/>
        </w:tblCellMar>
      </w:tblPr>
      <w:tblGrid>
        <w:gridCol w:w="5040"/>
        <w:gridCol w:w="4464"/>
      </w:tblGrid>
      <w:tr>
        <w:trPr/>
        <w:tc>
          <w:tcPr>
            <w:tcW w:w="5040" w:type="dxa"/>
            <w:tcBorders/>
          </w:tcPr>
          <w:p>
            <w:pPr>
              <w:pStyle w:val="BodyTextIndent"/>
              <w:tabs>
                <w:tab w:val="clear" w:pos="90"/>
                <w:tab w:val="clear" w:pos="2160"/>
                <w:tab w:val="clear" w:pos="6480"/>
              </w:tabs>
              <w:ind w:start="-108" w:end="0"/>
              <w:rPr/>
            </w:pPr>
            <w:r>
              <w:rPr/>
              <w:t>ENRON NORTH AMERICA CORP.</w:t>
            </w:r>
          </w:p>
        </w:tc>
        <w:tc>
          <w:tcPr>
            <w:tcW w:w="4464" w:type="dxa"/>
            <w:tcBorders/>
          </w:tcPr>
          <w:p>
            <w:pPr>
              <w:pStyle w:val="BodyTextIndent"/>
              <w:tabs>
                <w:tab w:val="clear" w:pos="90"/>
                <w:tab w:val="clear" w:pos="2160"/>
                <w:tab w:val="clear" w:pos="6480"/>
              </w:tabs>
              <w:ind w:start="0" w:end="0"/>
              <w:rPr/>
            </w:pPr>
            <w:r>
              <w:rPr/>
              <w:fldChar w:fldCharType="begin"/>
            </w:r>
            <w:r>
              <w:rPr/>
              <w:instrText xml:space="preserve"> MERGEFIELD CounterpartyName </w:instrText>
            </w:r>
            <w:r>
              <w:rPr/>
              <w:fldChar w:fldCharType="separate"/>
            </w:r>
            <w:r>
              <w:rPr/>
              <w:t>«CounterpartyName»</w:t>
            </w:r>
            <w:r>
              <w:rPr/>
              <w:fldChar w:fldCharType="end"/>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ind w:start="0" w:end="0"/>
              <w:rPr/>
            </w:pPr>
            <w:r>
              <w:rPr/>
              <w:fldChar w:fldCharType="begin"/>
            </w:r>
            <w:r>
              <w:rPr/>
              <w:instrText xml:space="preserve"> MERGEFIELD SignatureGoesHere </w:instrText>
            </w:r>
            <w:r>
              <w:rPr/>
              <w:fldChar w:fldCharType="separate"/>
            </w:r>
            <w:r>
              <w:rPr/>
              <w:t>«SignatureGoesHere»</w:t>
            </w:r>
            <w:r>
              <w:rPr/>
              <w:fldChar w:fldCharType="end"/>
            </w:r>
          </w:p>
        </w:tc>
        <w:tc>
          <w:tcPr>
            <w:tcW w:w="4464" w:type="dxa"/>
            <w:tcBorders/>
          </w:tcPr>
          <w:p>
            <w:pPr>
              <w:pStyle w:val="BodyTextIndent"/>
              <w:tabs>
                <w:tab w:val="clear" w:pos="90"/>
                <w:tab w:val="clear" w:pos="2160"/>
                <w:tab w:val="clear" w:pos="6480"/>
              </w:tabs>
              <w:ind w:start="0" w:end="0"/>
              <w:rPr/>
            </w:pPr>
            <w:r>
              <w:rPr/>
              <w:t>By:   _____________________________</w:t>
            </w:r>
          </w:p>
        </w:tc>
      </w:tr>
      <w:tr>
        <w:trPr/>
        <w:tc>
          <w:tcPr>
            <w:tcW w:w="5040" w:type="dxa"/>
            <w:tcBorders/>
          </w:tcPr>
          <w:p>
            <w:pPr>
              <w:pStyle w:val="BodyTextIndent"/>
              <w:tabs>
                <w:tab w:val="clear" w:pos="90"/>
                <w:tab w:val="clear" w:pos="2160"/>
                <w:tab w:val="clear" w:pos="6480"/>
              </w:tabs>
              <w:ind w:start="0" w:end="0"/>
              <w:rPr/>
            </w:pPr>
            <w:r>
              <w:rPr/>
              <w:fldChar w:fldCharType="begin"/>
            </w:r>
            <w:r>
              <w:rPr/>
              <w:instrText xml:space="preserve"> MERGEFIELD Signature </w:instrText>
            </w:r>
            <w:r>
              <w:rPr/>
              <w:fldChar w:fldCharType="separate"/>
            </w:r>
            <w:r>
              <w:rPr/>
              <w:t>«Signature»</w:t>
            </w:r>
            <w:r>
              <w:rPr/>
              <w:fldChar w:fldCharType="end"/>
            </w:r>
          </w:p>
        </w:tc>
        <w:tc>
          <w:tcPr>
            <w:tcW w:w="4464" w:type="dxa"/>
            <w:tcBorders/>
          </w:tcPr>
          <w:p>
            <w:pPr>
              <w:pStyle w:val="BodyTextIndent"/>
              <w:tabs>
                <w:tab w:val="clear" w:pos="90"/>
                <w:tab w:val="clear" w:pos="2160"/>
                <w:tab w:val="clear" w:pos="6480"/>
              </w:tabs>
              <w:ind w:start="0" w:end="0"/>
              <w:rPr/>
            </w:pPr>
            <w:r>
              <w:rPr/>
              <w:t>Name: ____________________________</w:t>
            </w:r>
          </w:p>
        </w:tc>
      </w:tr>
      <w:tr>
        <w:trPr/>
        <w:tc>
          <w:tcPr>
            <w:tcW w:w="5040" w:type="dxa"/>
            <w:tcBorders/>
          </w:tcPr>
          <w:p>
            <w:pPr>
              <w:pStyle w:val="BodyTextIndent"/>
              <w:tabs>
                <w:tab w:val="clear" w:pos="90"/>
                <w:tab w:val="clear" w:pos="2160"/>
                <w:tab w:val="clear" w:pos="6480"/>
              </w:tabs>
              <w:ind w:start="0" w:end="0"/>
              <w:rPr/>
            </w:pPr>
            <w:r>
              <w:rPr/>
              <w:fldChar w:fldCharType="begin"/>
            </w:r>
            <w:r>
              <w:rPr/>
              <w:instrText xml:space="preserve"> MERGEFIELD SignatureTitle </w:instrText>
            </w:r>
            <w:r>
              <w:rPr/>
              <w:fldChar w:fldCharType="separate"/>
            </w:r>
            <w:r>
              <w:rPr/>
              <w:t>«SignatureTitle»</w:t>
            </w:r>
            <w:r>
              <w:rPr/>
              <w:fldChar w:fldCharType="end"/>
            </w:r>
          </w:p>
        </w:tc>
        <w:tc>
          <w:tcPr>
            <w:tcW w:w="4464" w:type="dxa"/>
            <w:tcBorders/>
          </w:tcPr>
          <w:p>
            <w:pPr>
              <w:pStyle w:val="BodyTextIndent"/>
              <w:tabs>
                <w:tab w:val="clear" w:pos="90"/>
                <w:tab w:val="clear" w:pos="2160"/>
                <w:tab w:val="clear" w:pos="6480"/>
              </w:tabs>
              <w:ind w:start="0" w:end="0"/>
              <w:rPr/>
            </w:pPr>
            <w:r>
              <w:rPr/>
              <w:t>Title:   ____________________________</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bl>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 xml:space="preserve">COUNTERPARTY:  AFTER YOU HAVE CONFIRMED TRANSACTION, PLEASE RETURN TO ENA, </w:t>
      </w:r>
    </w:p>
    <w:p>
      <w:pPr>
        <w:pStyle w:val="BodyTextIndent"/>
        <w:tabs>
          <w:tab w:val="clear" w:pos="90"/>
          <w:tab w:val="clear" w:pos="2160"/>
          <w:tab w:val="clear" w:pos="6480"/>
          <w:tab w:val="left" w:pos="4320" w:leader="none"/>
        </w:tabs>
        <w:rPr>
          <w:b/>
        </w:rPr>
      </w:pPr>
      <w:r>
        <w:rPr>
          <w:b/>
        </w:rPr>
        <w:t>ATTENTION:  Veronica Gonzalez</w:t>
      </w:r>
    </w:p>
    <w:p>
      <w:pPr>
        <w:pStyle w:val="BodyTextIndent"/>
        <w:tabs>
          <w:tab w:val="clear" w:pos="90"/>
          <w:tab w:val="clear" w:pos="2160"/>
          <w:tab w:val="clear" w:pos="6480"/>
          <w:tab w:val="left" w:pos="4320" w:leader="none"/>
        </w:tabs>
        <w:rPr>
          <w:b/>
        </w:rPr>
      </w:pPr>
      <w:r>
        <w:rPr>
          <w:b/>
        </w:rPr>
        <w:t>FAX:</w:t>
      </w:r>
      <w:r>
        <w:rPr>
          <w:rFonts w:cs="Courier New" w:ascii="Courier New" w:hAnsi="Courier New"/>
          <w:b/>
        </w:rPr>
        <w:t xml:space="preserve"> (713)646-2443</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caps/>
        </w:rPr>
      </w:pPr>
      <w:r>
        <w:rPr>
          <w:b/>
          <w:caps/>
        </w:rPr>
        <w:t>Seller's account information for payments:</w:t>
      </w:r>
    </w:p>
    <w:p>
      <w:pPr>
        <w:pStyle w:val="BodyTextIndent"/>
        <w:tabs>
          <w:tab w:val="clear" w:pos="90"/>
          <w:tab w:val="clear" w:pos="2160"/>
          <w:tab w:val="clear" w:pos="6480"/>
          <w:tab w:val="left" w:pos="4320" w:leader="none"/>
        </w:tabs>
        <w:rPr>
          <w:b/>
          <w:caps/>
        </w:rPr>
      </w:pPr>
      <w:r>
        <w:rPr>
          <w:b/>
          <w:caps/>
        </w:rPr>
      </w:r>
    </w:p>
    <w:p>
      <w:pPr>
        <w:pStyle w:val="Normal"/>
        <w:tabs>
          <w:tab w:val="clear" w:pos="720"/>
          <w:tab w:val="left" w:pos="2160" w:leader="none"/>
          <w:tab w:val="left" w:pos="6480" w:leader="none"/>
        </w:tabs>
        <w:ind w:start="-720" w:end="0"/>
        <w:rPr>
          <w:b/>
          <w:sz w:val="20"/>
        </w:rPr>
      </w:pPr>
      <w:r>
        <w:rPr>
          <w:b/>
          <w:sz w:val="20"/>
        </w:rPr>
        <w:fldChar w:fldCharType="begin"/>
      </w:r>
      <w:r>
        <w:rPr>
          <w:sz w:val="20"/>
          <w:b/>
        </w:rPr>
        <w:instrText xml:space="preserve"> MERGEFIELD SellerAccountInfo </w:instrText>
      </w:r>
      <w:r>
        <w:rPr>
          <w:sz w:val="20"/>
          <w:b/>
        </w:rPr>
        <w:fldChar w:fldCharType="separate"/>
      </w:r>
      <w:r>
        <w:rPr>
          <w:sz w:val="20"/>
          <w:b/>
        </w:rPr>
        <w:t>«SellerAccountInfo»</w:t>
      </w:r>
      <w:r>
        <w:rPr>
          <w:sz w:val="20"/>
          <w:b/>
        </w:rPr>
        <w:fldChar w:fldCharType="end"/>
      </w:r>
      <w:r>
        <w:br w:type="page"/>
      </w:r>
    </w:p>
    <w:p>
      <w:pPr>
        <w:pStyle w:val="Justified"/>
        <w:jc w:val="center"/>
        <w:rPr>
          <w:b/>
          <w:sz w:val="18"/>
        </w:rPr>
      </w:pPr>
      <w:r>
        <w:rPr>
          <w:b/>
          <w:sz w:val="18"/>
        </w:rPr>
        <w:t>ENRON NORTH AMERICA CORP.</w:t>
      </w:r>
    </w:p>
    <w:p>
      <w:pPr>
        <w:pStyle w:val="Justified"/>
        <w:jc w:val="center"/>
        <w:rPr/>
      </w:pPr>
      <w:r>
        <w:rPr>
          <w:b/>
          <w:sz w:val="18"/>
        </w:rPr>
        <w:t>ENRONEAUCTION GENERAL TERMS AND CONDITIONS FOR SO</w:t>
      </w:r>
      <w:r>
        <w:rPr>
          <w:b/>
          <w:sz w:val="18"/>
          <w:vertAlign w:val="subscript"/>
        </w:rPr>
        <w:t>2</w:t>
      </w:r>
      <w:r>
        <w:rPr>
          <w:b/>
          <w:sz w:val="18"/>
        </w:rPr>
        <w:t xml:space="preserve"> EMISSION ALLOWANCE TRANSACTIONS</w:t>
      </w:r>
    </w:p>
    <w:p>
      <w:pPr>
        <w:pStyle w:val="Heading2"/>
        <w:ind w:hanging="0" w:start="0"/>
        <w:rPr>
          <w:b/>
          <w:sz w:val="18"/>
        </w:rPr>
      </w:pPr>
      <w:r>
        <w:rPr>
          <w:b/>
          <w:sz w:val="18"/>
        </w:rPr>
      </w:r>
    </w:p>
    <w:p>
      <w:pPr>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North America Corp. ("ENA") and another party (the "Counterparty") made under the rules of the EnronEAuction ("Rules").  ENA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 Rules and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under the EnronEAuction Rules by clicking on the designated boxes on this EnronEAuction website. Unless otherwise so specified, this website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website.  </w:t>
      </w:r>
    </w:p>
    <w:p>
      <w:pPr>
        <w:pStyle w:val="Heading2"/>
        <w:ind w:firstLine="720" w:start="0" w:end="0"/>
        <w:rPr/>
      </w:pPr>
      <w:r>
        <w:rPr>
          <w:sz w:val="18"/>
        </w:rPr>
        <w:t xml:space="preserve">The Parties agree that ENA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rPr>
          <w:sz w:val="18"/>
        </w:rPr>
      </w:pPr>
      <w:r>
        <w:rPr>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With respect to each Transaction, Seller agrees to Transfer  the Allowances in accordance with the transfer terms agreed to by the Parties for that Transaction.  Unless otherwise agreed to by the Parties, Seller shall Transfer the Allowances under a Transaction to Buyer within seven (7) Business Days of the date of ENA's Confirmation to Counterparty, provided Counterparty has provided to ENA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Unless otherwise specified in the Confirmation or agreed to by the Parties, Buyer shall pay the Purchase Price for the Allowances within three (3) Business Days of Delivery of the Allowances, provided all Buyer's information and/or authorizations including its authorized signature required for Transfer and Delivery is on file with the EPA and Seller filed the ATF directly with the EPA.  If any of Buyer's information and/or authorization including its authorized signature for Transfer and/or Delivery is not on file with the EPA and as a result Seller must submit the ATF to Buyer for its completion and submission to EPA, Buyer shall submit the fully executed ATF to the EPA within three (3) Business Days of its receipt of the ATF from Seller.  If Buyer fails to submit the ATF to the EPA within this required period, Buyer shall pay Seller the Purchase Price within five (5) Business Days of its receipt of the ATF from Seller.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rFonts w:eastAsia="Courier New"/>
          <w:sz w:val="18"/>
        </w:rPr>
        <w:t xml:space="preserve"> </w:t>
      </w:r>
      <w:r>
        <w:rPr>
          <w:rFonts w:cs="Times New Roman" w:ascii="Times New Roman" w:hAnsi="Times New Roman"/>
          <w:b w:val="false"/>
          <w:sz w:val="18"/>
        </w:rPr>
        <w:t>(b)</w:t>
        <w:tab/>
        <w:t>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Non-Defaulting Party will calculate its Gains, Losses and Costs as of the Early Termination Date, or, if that is not reasonably practicable, as of the earliest date thereafter that is reasonably practicable.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start="1440" w:end="0"/>
        <w:rPr>
          <w:sz w:val="18"/>
        </w:rPr>
      </w:pPr>
      <w:r>
        <w:rPr>
          <w:sz w:val="18"/>
        </w:rPr>
        <w:t>(i)</w:t>
        <w:tab/>
        <w:t>consents to the non-exclusive personal jurisdiction of the courts located in the Borough of Manhattan, New York, USA;</w:t>
      </w:r>
    </w:p>
    <w:p>
      <w:pPr>
        <w:pStyle w:val="BodyTextIndent"/>
        <w:ind w:start="1440" w:end="0"/>
        <w:rPr>
          <w:sz w:val="18"/>
        </w:rPr>
      </w:pPr>
      <w:r>
        <w:rPr>
          <w:sz w:val="18"/>
        </w:rPr>
        <w:t>(ii)</w:t>
        <w:tab/>
        <w:t>agrees that venue properly lies in the above-designated jurisdiction; and</w:t>
      </w:r>
    </w:p>
    <w:p>
      <w:pPr>
        <w:pStyle w:val="BodyTextIndent"/>
        <w:ind w:start="1440" w:end="0"/>
        <w:rPr>
          <w:sz w:val="18"/>
        </w:rPr>
      </w:pPr>
      <w:r>
        <w:rPr>
          <w:sz w:val="18"/>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sz w:val="18"/>
        </w:rPr>
      </w:pPr>
      <w:r>
        <w:rPr>
          <w:sz w:val="18"/>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sz w:val="18"/>
        </w:rPr>
      </w:pPr>
      <w:r>
        <w:rPr>
          <w:sz w:val="18"/>
        </w:rPr>
        <w:t>(c)</w:t>
        <w:tab/>
        <w:t>The Parties hereby waive any claim that a judgment obtained in the above-designated jurisdiction is invalid or unenforceable.</w:t>
      </w:r>
    </w:p>
    <w:p>
      <w:pPr>
        <w:pStyle w:val="BodyTextIndent"/>
        <w:ind w:firstLine="720" w:start="0" w:end="0"/>
        <w:rPr>
          <w:sz w:val="18"/>
        </w:rPr>
      </w:pPr>
      <w:r>
        <w:rPr>
          <w:sz w:val="18"/>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BodyTextIndent"/>
        <w:ind w:firstLine="720" w:start="0" w:end="0"/>
        <w:rPr/>
      </w:pPr>
      <w:r>
        <w:rPr/>
      </w:r>
    </w:p>
    <w:p>
      <w:pPr>
        <w:pStyle w:val="Normal"/>
        <w:spacing w:before="0" w:after="120"/>
        <w:jc w:val="both"/>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jc w:val="center"/>
        <w:rPr>
          <w:b/>
          <w:sz w:val="18"/>
        </w:rPr>
      </w:pPr>
      <w:r>
        <w:rPr>
          <w:b/>
          <w:sz w:val="18"/>
        </w:rPr>
        <w:t>SECTION 7. COLLATERAL ARRANGEMENTS</w:t>
      </w:r>
    </w:p>
    <w:p>
      <w:pPr>
        <w:pStyle w:val="Heading2"/>
        <w:ind w:hanging="0" w:start="0"/>
        <w:rPr>
          <w:sz w:val="18"/>
        </w:rPr>
      </w:pPr>
      <w:r>
        <w:rPr>
          <w:sz w:val="18"/>
        </w:rPr>
        <w:t>Counterparty shall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Failure so to provide such letter of credit or parent company guaranty shall constitute a default hereunder giving rise to the immediate right of termination by ENA under these Terms.</w:t>
      </w:r>
    </w:p>
    <w:p>
      <w:pPr>
        <w:pStyle w:val="Expanded"/>
        <w:spacing w:before="0" w:after="0"/>
        <w:rPr>
          <w:caps w:val="false"/>
          <w:smallCaps w:val="false"/>
          <w:spacing w:val="0"/>
          <w:sz w:val="18"/>
        </w:rPr>
      </w:pPr>
      <w:r>
        <w:rPr>
          <w:caps w:val="false"/>
          <w:smallCaps w:val="false"/>
          <w:spacing w:val="0"/>
          <w:sz w:val="18"/>
        </w:rPr>
        <w:t>SECTION 8.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SO</w:t>
      </w:r>
      <w:r>
        <w:rPr>
          <w:sz w:val="14"/>
          <w:vertAlign w:val="subscript"/>
        </w:rPr>
        <w:t>2</w:t>
      </w:r>
      <w:r>
        <w:rPr>
          <w:sz w:val="18"/>
        </w:rPr>
        <w:t xml:space="preserve">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an authorization by the Administrator of the EPA under the Clean Air Act to emit at least one ton of sulfur dioxide (SO</w:t>
      </w:r>
      <w:r>
        <w:rPr>
          <w:sz w:val="18"/>
          <w:vertAlign w:val="subscript"/>
        </w:rPr>
        <w:t>2</w:t>
      </w:r>
      <w:r>
        <w:rPr>
          <w:sz w:val="18"/>
        </w:rPr>
        <w:t>) during or after a specified calendar year.</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for recording the Transfer of Allowances among various entities or persons under the Clean Air Act as set forth in 40 C.F.R. Part 73, as amended, or any successor regulation thereto.</w:t>
      </w:r>
    </w:p>
    <w:p>
      <w:pPr>
        <w:pStyle w:val="Justified"/>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Heading2"/>
        <w:ind w:hanging="0" w:start="0"/>
        <w:rPr/>
      </w:pPr>
      <w:r>
        <w:rPr>
          <w:sz w:val="18"/>
        </w:rPr>
        <w:t>"</w:t>
      </w:r>
      <w:r>
        <w:rPr>
          <w:b/>
          <w:i/>
          <w:sz w:val="18"/>
          <w:u w:val="single"/>
        </w:rPr>
        <w:t>ATF</w:t>
      </w:r>
      <w:r>
        <w:rPr>
          <w:sz w:val="18"/>
        </w:rPr>
        <w:t>" means an Allowance Transfer Form (OMB No. 2060-0258), or its successor form required by the EPA.</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Clean Air Act</w:t>
      </w:r>
      <w:r>
        <w:rPr>
          <w:b/>
          <w:i/>
          <w:sz w:val="18"/>
        </w:rPr>
        <w:t>"</w:t>
      </w:r>
      <w:r>
        <w:rPr>
          <w:sz w:val="18"/>
        </w:rPr>
        <w:t xml:space="preserve"> means Title IV of the Clean Air Act Amendments of 1990 (effective November 15, 1990), any amendments thereto and any regulations promulgated thereunder, which are the basis for the federal air pollution control program for sulfur dioxide emissions.</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ENA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SO</w:t>
      </w:r>
      <w:r>
        <w:rPr>
          <w:sz w:val="18"/>
          <w:vertAlign w:val="subscript"/>
        </w:rPr>
        <w:t>2</w:t>
      </w:r>
      <w:r>
        <w:rPr>
          <w:sz w:val="18"/>
        </w:rPr>
        <w:t xml:space="preserve"> Allowances in the SO</w:t>
      </w:r>
      <w:r>
        <w:rPr>
          <w:sz w:val="18"/>
          <w:vertAlign w:val="subscript"/>
        </w:rPr>
        <w:t>2</w:t>
      </w:r>
      <w:r>
        <w:rPr>
          <w:sz w:val="18"/>
        </w:rPr>
        <w:t xml:space="preserve"> Allowance Tracking System's electronic database accessible on the Internet.</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ind w:hanging="0" w:start="0"/>
        <w:rPr/>
      </w:pPr>
      <w:r>
        <w:rPr>
          <w:b/>
          <w:i/>
          <w:sz w:val="18"/>
        </w:rPr>
        <w:t>"</w:t>
      </w:r>
      <w:r>
        <w:rPr>
          <w:b/>
          <w:i/>
          <w:sz w:val="18"/>
          <w:u w:val="single"/>
        </w:rPr>
        <w:t>Transfer</w:t>
      </w:r>
      <w:r>
        <w:rPr>
          <w:b/>
          <w:i/>
          <w:sz w:val="18"/>
        </w:rPr>
        <w:t>"</w:t>
      </w:r>
      <w:r>
        <w:rPr>
          <w:sz w:val="18"/>
        </w:rPr>
        <w:t xml:space="preserve"> means (i) when Seller has completed and submitted to the EPA an ATF transferring the Contract Quantity of Allowances from Seller's account in the Allowance Tracking System to Buyer's account, or (ii) when in the event that any of Buyer's information and/or authorization, including its authorized signature, is not on file with the EPA, Seller submits the partially completed ATF to transfer the Contract Quantity of Allowances to Buyer for Buyer's completion and submission to EPA.</w:t>
      </w:r>
    </w:p>
    <w:p>
      <w:pPr>
        <w:pStyle w:val="Justified"/>
        <w:jc w:val="start"/>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ind w:hanging="0" w:start="0"/>
        <w:jc w:val="start"/>
        <w:rPr>
          <w:sz w:val="18"/>
        </w:rPr>
      </w:pPr>
      <w:r>
        <w:rPr>
          <w:sz w:val="18"/>
        </w:rPr>
      </w:r>
    </w:p>
    <w:p>
      <w:pPr>
        <w:sectPr>
          <w:type w:val="continuous"/>
          <w:pgSz w:w="11906" w:h="15840"/>
          <w:pgMar w:left="1152" w:right="1095" w:gutter="0" w:header="720" w:top="864" w:footer="720" w:bottom="864"/>
          <w:cols w:num="2" w:space="708" w:equalWidth="true" w:sep="false"/>
          <w:formProt w:val="false"/>
          <w:textDirection w:val="lrTb"/>
          <w:docGrid w:type="default" w:linePitch="360" w:charSpace="0"/>
        </w:sectPr>
      </w:pP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r>
    </w:p>
    <w:sectPr>
      <w:type w:val="continuous"/>
      <w:pgSz w:w="11906"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lang w:eastAsia="en-US"/>
      </w:rPr>
    </w:pPr>
    <w:r>
      <w:rPr>
        <w:sz w:val="10"/>
        <w:lang w:eastAsia="en-US"/>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35.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rPr>
        <w:lang w:eastAsia="en-US"/>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/mnt/main-storage/datasets/enron-docs/doc/SO2_Online_GTC_Template1-ec68fc3a9bb7e0dbaa380f64ad778812262b0a6807d343efbe41f8a099ed68be.doc</w:t>
    </w:r>
    <w:r>
      <w:rPr>
        <w:sz w:val="10"/>
        <w:lang w:eastAsia="en-US"/>
      </w:rPr>
      <w:fldChar w:fldCharType="end"/>
    </w:r>
  </w:p>
  <w:p>
    <w:pPr>
      <w:pStyle w:val="Footer"/>
      <w:rPr>
        <w:lang w:eastAsia="en-US"/>
      </w:rPr>
    </w:pPr>
    <w:r>
      <w:rPr>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Justified">
    <w:name w:val="Justified"/>
    <w:basedOn w:val="Normal"/>
    <w:next w:val="Heading2"/>
    <w:qFormat/>
    <w:pPr>
      <w:spacing w:before="0" w:after="120"/>
      <w:jc w:val="both"/>
    </w:pPr>
    <w:rPr>
      <w:sz w:val="22"/>
    </w:rPr>
  </w:style>
  <w:style w:type="paragraph" w:styleId="BodyTextIndent2">
    <w:name w:val="Body Text Indent 2"/>
    <w:basedOn w:val="Normal"/>
    <w:qFormat/>
    <w:pPr>
      <w:spacing w:before="0" w:after="120"/>
      <w:ind w:firstLine="720" w:start="0" w:end="0"/>
      <w:jc w:val="both"/>
    </w:pPr>
    <w:rPr>
      <w:sz w:val="18"/>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2000-03-01T15:03:00Z</dcterms:created>
  <dc:creator>EOL#</dc:creator>
  <dc:description/>
  <dc:language>en-CA</dc:language>
  <cp:lastModifiedBy>jhelton</cp:lastModifiedBy>
  <cp:lastPrinted>2000-03-03T16:18:00Z</cp:lastPrinted>
  <dcterms:modified xsi:type="dcterms:W3CDTF">2000-03-03T19:48:00Z</dcterms:modified>
  <cp:revision>8</cp:revision>
  <dc:subject/>
  <dc:title>	</dc:title>
</cp:coreProperties>
</file>