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00"/>
        <w:ind w:start="720" w:end="0"/>
        <w:rPr>
          <w:b/>
          <w:sz w:val="48"/>
        </w:rPr>
      </w:pPr>
      <w:r>
        <w:rPr>
          <w:b/>
          <w:sz w:val="48"/>
        </w:rPr>
        <w:t>Greenberg Traurig</w:t>
      </w:r>
    </w:p>
    <w:p>
      <w:pPr>
        <w:pStyle w:val="Normal"/>
        <w:spacing w:before="0" w:after="680"/>
        <w:ind w:start="720" w:end="0"/>
        <w:rPr>
          <w:b/>
          <w:sz w:val="48"/>
        </w:rPr>
      </w:pPr>
      <w:r>
        <w:rPr>
          <w:b/>
          <w:sz w:val="48"/>
        </w:rPr>
        <w:t>Memorandum</w:t>
      </w:r>
    </w:p>
    <w:p>
      <w:pPr>
        <w:pStyle w:val="Normal"/>
        <w:rPr/>
      </w:pPr>
      <w:r>
        <w:rPr>
          <w:b/>
          <w:bCs/>
        </w:rPr>
        <w:t>To</w:t>
      </w:r>
      <w:r>
        <w:rPr>
          <w:b/>
        </w:rPr>
        <w:tab/>
      </w:r>
      <w:bookmarkStart w:id="0" w:name="bmTo"/>
      <w:bookmarkEnd w:id="0"/>
      <w:r>
        <w:rPr>
          <w:b/>
          <w:u w:val="single"/>
        </w:rPr>
        <w:t>Via Email</w:t>
      </w:r>
    </w:p>
    <w:p>
      <w:pPr>
        <w:pStyle w:val="Normal"/>
        <w:rPr>
          <w:b/>
          <w:u w:val="single"/>
        </w:rPr>
      </w:pPr>
      <w:r>
        <w:rPr>
          <w:b/>
          <w:u w:val="single"/>
        </w:rPr>
      </w:r>
    </w:p>
    <w:p>
      <w:pPr>
        <w:pStyle w:val="Normal"/>
        <w:rPr/>
      </w:pPr>
      <w:r>
        <w:rPr>
          <w:b/>
        </w:rPr>
        <w:tab/>
      </w:r>
      <w:r>
        <w:rPr/>
        <w:t>Kay Mann, Esq.</w:t>
      </w:r>
    </w:p>
    <w:p>
      <w:pPr>
        <w:pStyle w:val="Normal"/>
        <w:rPr/>
      </w:pPr>
      <w:r>
        <w:rPr/>
        <w:tab/>
        <w:t>Ben Jacoby</w:t>
      </w:r>
    </w:p>
    <w:p>
      <w:pPr>
        <w:pStyle w:val="Normal"/>
        <w:rPr/>
      </w:pPr>
      <w:r>
        <w:rPr/>
        <w:tab/>
        <w:t>Steven Krimsky</w:t>
      </w:r>
    </w:p>
    <w:p>
      <w:pPr>
        <w:pStyle w:val="Normal"/>
        <w:rPr/>
      </w:pPr>
      <w:r>
        <w:rPr/>
      </w:r>
    </w:p>
    <w:p>
      <w:pPr>
        <w:pStyle w:val="Normal"/>
        <w:rPr/>
      </w:pPr>
      <w:r>
        <w:rPr>
          <w:b/>
          <w:bCs/>
        </w:rPr>
        <w:t>From</w:t>
        <w:tab/>
      </w:r>
      <w:r>
        <w:rPr>
          <w:bCs/>
        </w:rPr>
        <w:t>Kerri L. Barsh, Esq.</w:t>
      </w:r>
    </w:p>
    <w:p>
      <w:pPr>
        <w:pStyle w:val="Normal"/>
        <w:rPr>
          <w:b/>
          <w:bCs/>
        </w:rPr>
      </w:pPr>
      <w:r>
        <w:rPr>
          <w:b/>
          <w:bCs/>
        </w:rPr>
      </w:r>
    </w:p>
    <w:p>
      <w:pPr>
        <w:pStyle w:val="Normal"/>
        <w:rPr>
          <w:b/>
        </w:rPr>
      </w:pPr>
      <w:r>
        <w:rPr>
          <w:b/>
        </w:rPr>
        <w:t>Date</w:t>
        <w:tab/>
      </w:r>
      <w:r>
        <w:rPr>
          <w:bCs/>
        </w:rPr>
        <w:t>September 8, 2001</w:t>
      </w:r>
    </w:p>
    <w:p>
      <w:pPr>
        <w:pStyle w:val="Normal"/>
        <w:rPr>
          <w:b/>
          <w:bCs/>
        </w:rPr>
      </w:pPr>
      <w:r>
        <w:rPr>
          <w:b/>
          <w:bCs/>
        </w:rPr>
      </w:r>
    </w:p>
    <w:p>
      <w:pPr>
        <w:pStyle w:val="LastTopLabel"/>
        <w:tabs>
          <w:tab w:val="clear" w:pos="180"/>
          <w:tab w:val="left" w:pos="720" w:leader="none"/>
        </w:tabs>
        <w:ind w:hanging="720" w:end="0"/>
        <w:rPr/>
      </w:pPr>
      <w:bookmarkStart w:id="1" w:name="bmRe"/>
      <w:bookmarkEnd w:id="1"/>
      <w:r>
        <w:rPr>
          <w:b/>
          <w:bCs/>
          <w:szCs w:val="22"/>
        </w:rPr>
        <w:t>Re</w:t>
      </w:r>
      <w:r>
        <w:rPr>
          <w:szCs w:val="22"/>
        </w:rPr>
        <w:tab/>
        <w:t>Deerfield Beach Facility/</w:t>
      </w:r>
    </w:p>
    <w:p>
      <w:pPr>
        <w:pStyle w:val="LastTopLabel"/>
        <w:tabs>
          <w:tab w:val="clear" w:pos="180"/>
          <w:tab w:val="left" w:pos="720" w:leader="none"/>
        </w:tabs>
        <w:ind w:hanging="720" w:end="0"/>
        <w:rPr/>
      </w:pPr>
      <w:r>
        <w:rPr>
          <w:b/>
          <w:bCs/>
          <w:szCs w:val="22"/>
        </w:rPr>
        <w:tab/>
      </w:r>
      <w:r>
        <w:rPr>
          <w:szCs w:val="22"/>
        </w:rPr>
        <w:t>Estimated Time Frames and Legal Fees for Obtaining Necessary Approvals</w:t>
      </w:r>
    </w:p>
    <w:p>
      <w:pPr>
        <w:pStyle w:val="DblLine"/>
        <w:rPr>
          <w:szCs w:val="22"/>
        </w:rPr>
      </w:pPr>
      <w:r>
        <w:rPr>
          <w:szCs w:val="22"/>
        </w:rPr>
      </w:r>
    </w:p>
    <w:p>
      <w:pPr>
        <w:pStyle w:val="Para"/>
        <w:rPr/>
      </w:pPr>
      <w:r>
        <w:rPr/>
        <w:t xml:space="preserve">Set forth below is a synopsis of the legal fees and time frames associated with securing the required developmental approvals or resolving all outstanding challenges to such approvals, as necessary for the construction and operation of the Deerfield Beach power plant.  At your request, we have included a range of the best and worst case scenarios for each of the approvals enumerated below and a brief explanation of any assumptions made to arrive at our conclusions.  At the end of each section of this memorandum, I have consolidated the various components into a single chart.  To prepare this memorandum, I have elicited the input of Debbie Orshefsky, Ryan Reetz, Elliot Scherker, Jeff Gilbert and Michael Cherniga, relative to their particular areas of expertise.  </w:t>
      </w:r>
    </w:p>
    <w:p>
      <w:pPr>
        <w:pStyle w:val="Para"/>
        <w:rPr/>
      </w:pPr>
      <w:r>
        <w:rPr/>
        <w:t>In this memorandum, we have focused upon four areas of concern – namely, (</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w:t>
      </w:r>
      <w:r>
        <w:rPr>
          <w:lang w:val="en-CA" w:eastAsia="en-CA"/>
        </w:rPr>
      </w:r>
      <w:r>
        <w:rPr>
          <w:lang w:val="en-CA" w:eastAsia="en-CA"/>
        </w:rPr>
        <w:fldChar w:fldCharType="end"/>
      </w:r>
      <w:r>
        <w:rPr/>
        <w:t>) the ongoing and annexation issues pertinent to the site development; (</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ii</w:t>
      </w:r>
      <w:r>
        <w:rPr>
          <w:lang w:val="en-CA" w:eastAsia="en-CA"/>
        </w:rPr>
      </w:r>
      <w:r>
        <w:rPr>
          <w:lang w:val="en-CA" w:eastAsia="en-CA"/>
        </w:rPr>
        <w:fldChar w:fldCharType="end"/>
      </w:r>
      <w:r>
        <w:rPr/>
        <w:t>) the pending air quality permit challenge before an administrative law judge; (</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iii</w:t>
      </w:r>
      <w:r>
        <w:rPr>
          <w:lang w:val="en-CA" w:eastAsia="en-CA"/>
        </w:rPr>
      </w:r>
      <w:r>
        <w:rPr>
          <w:lang w:val="en-CA" w:eastAsia="en-CA"/>
        </w:rPr>
        <w:fldChar w:fldCharType="end"/>
      </w:r>
      <w:r>
        <w:rPr/>
        <w:t>) the Broward County ordinance imposing a moratorium on the issuance of all licenses for power plants; and (</w:t>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iv</w:t>
      </w:r>
      <w:r>
        <w:rPr>
          <w:lang w:val="en-CA" w:eastAsia="en-CA"/>
        </w:rPr>
      </w:r>
      <w:r>
        <w:rPr>
          <w:lang w:val="en-CA" w:eastAsia="en-CA"/>
        </w:rPr>
        <w:fldChar w:fldCharType="end"/>
      </w:r>
      <w:r>
        <w:rPr/>
        <w:t>) the pending land use litigation initiated by Coconut Creek.</w:t>
      </w:r>
    </w:p>
    <w:p>
      <w:pPr>
        <w:pStyle w:val="Heading"/>
        <w:jc w:val="start"/>
        <w:rPr/>
      </w:pPr>
      <w:r>
        <w:rPr/>
        <w:t xml:space="preserve">I. </w:t>
        <w:tab/>
      </w:r>
      <w:r>
        <w:rPr>
          <w:u w:val="single"/>
        </w:rPr>
        <w:t>TIME CONSTRAINTS</w:t>
      </w:r>
    </w:p>
    <w:p>
      <w:pPr>
        <w:pStyle w:val="Para"/>
        <w:rPr/>
      </w:pPr>
      <w:r>
        <w:rPr/>
        <w:t xml:space="preserve">For each of the four issues of concern, I have outlined below the projected time frames and milestones associated with the project approval process.  Please note that a number of the projections are simply estimates, based upon our prior experience in similar circumstances. </w:t>
      </w:r>
      <w:r>
        <w:br w:type="page"/>
      </w:r>
    </w:p>
    <w:p>
      <w:pPr>
        <w:pStyle w:val="Heading"/>
        <w:jc w:val="start"/>
        <w:rPr/>
      </w:pPr>
      <w:r>
        <w:rPr/>
        <w:t>A.</w:t>
        <w:tab/>
      </w:r>
      <w:r>
        <w:rPr>
          <w:u w:val="single"/>
        </w:rPr>
        <w:t>Zoning And Annexation Issues</w:t>
      </w:r>
    </w:p>
    <w:tbl>
      <w:tblPr>
        <w:tblW w:w="9576" w:type="dxa"/>
        <w:jc w:val="start"/>
        <w:tblInd w:w="0" w:type="dxa"/>
        <w:tblLayout w:type="fixed"/>
        <w:tblCellMar>
          <w:top w:w="0" w:type="dxa"/>
          <w:start w:w="108" w:type="dxa"/>
          <w:bottom w:w="0" w:type="dxa"/>
          <w:end w:w="108" w:type="dxa"/>
        </w:tblCellMar>
      </w:tblPr>
      <w:tblGrid>
        <w:gridCol w:w="1908"/>
        <w:gridCol w:w="2880"/>
        <w:gridCol w:w="4788"/>
      </w:tblGrid>
      <w:tr>
        <w:trPr/>
        <w:tc>
          <w:tcPr>
            <w:tcW w:w="1908" w:type="dxa"/>
            <w:tcBorders/>
          </w:tcPr>
          <w:p>
            <w:pPr>
              <w:pStyle w:val="Para"/>
              <w:spacing w:before="0" w:after="120"/>
              <w:ind w:hanging="0" w:end="0"/>
              <w:jc w:val="start"/>
              <w:rPr>
                <w:b/>
                <w:bCs/>
                <w:u w:val="single"/>
              </w:rPr>
            </w:pPr>
            <w:r>
              <w:rPr>
                <w:b/>
                <w:bCs/>
                <w:u w:val="single"/>
              </w:rPr>
              <w:t>Key Deadlines:</w:t>
            </w:r>
          </w:p>
        </w:tc>
        <w:tc>
          <w:tcPr>
            <w:tcW w:w="2880" w:type="dxa"/>
            <w:tcBorders/>
          </w:tcPr>
          <w:p>
            <w:pPr>
              <w:pStyle w:val="Para"/>
              <w:spacing w:before="0" w:after="120"/>
              <w:ind w:hanging="0" w:end="0"/>
              <w:jc w:val="start"/>
              <w:rPr/>
            </w:pPr>
            <w:r>
              <w:rPr/>
              <w:t xml:space="preserve">December 15, 2001 </w:t>
            </w:r>
          </w:p>
        </w:tc>
        <w:tc>
          <w:tcPr>
            <w:tcW w:w="4788" w:type="dxa"/>
            <w:tcBorders/>
          </w:tcPr>
          <w:p>
            <w:pPr>
              <w:pStyle w:val="Para"/>
              <w:spacing w:before="0" w:after="120"/>
              <w:ind w:hanging="0" w:end="0"/>
              <w:rPr/>
            </w:pPr>
            <w:r>
              <w:rPr/>
              <w:t>Deadline for obtaining final site plan approval.  “sign off” or DRC approval is lost;</w:t>
            </w:r>
          </w:p>
        </w:tc>
      </w:tr>
      <w:tr>
        <w:trPr/>
        <w:tc>
          <w:tcPr>
            <w:tcW w:w="1908" w:type="dxa"/>
            <w:vMerge w:val="restart"/>
            <w:tcBorders/>
          </w:tcPr>
          <w:p>
            <w:pPr>
              <w:pStyle w:val="Para"/>
              <w:snapToGrid w:val="false"/>
              <w:spacing w:before="0" w:after="120"/>
              <w:rPr/>
            </w:pPr>
            <w:r>
              <w:rPr/>
            </w:r>
          </w:p>
        </w:tc>
        <w:tc>
          <w:tcPr>
            <w:tcW w:w="2880" w:type="dxa"/>
            <w:tcBorders/>
          </w:tcPr>
          <w:p>
            <w:pPr>
              <w:pStyle w:val="Para"/>
              <w:spacing w:before="0" w:after="120"/>
              <w:ind w:hanging="0" w:end="0"/>
              <w:jc w:val="start"/>
              <w:rPr/>
            </w:pPr>
            <w:r>
              <w:rPr/>
              <w:t>May 2002</w:t>
            </w:r>
          </w:p>
        </w:tc>
        <w:tc>
          <w:tcPr>
            <w:tcW w:w="4788" w:type="dxa"/>
            <w:tcBorders/>
          </w:tcPr>
          <w:p>
            <w:pPr>
              <w:pStyle w:val="Para"/>
              <w:spacing w:before="0" w:after="120"/>
              <w:ind w:hanging="0" w:end="0"/>
              <w:rPr/>
            </w:pPr>
            <w:r>
              <w:rPr/>
              <w:t>Earliest date by with Broward County Commission could cure the lack of Special Act authority required for independent, air permitting authority by enactment of a new Special Act;</w:t>
            </w:r>
          </w:p>
        </w:tc>
      </w:tr>
      <w:tr>
        <w:trPr/>
        <w:tc>
          <w:tcPr>
            <w:tcW w:w="1908" w:type="dxa"/>
            <w:vMerge w:val="continue"/>
            <w:tcBorders/>
          </w:tcPr>
          <w:p>
            <w:pPr>
              <w:pStyle w:val="Para"/>
              <w:snapToGrid w:val="false"/>
              <w:spacing w:before="0" w:after="120"/>
              <w:rPr/>
            </w:pPr>
            <w:r>
              <w:rPr/>
            </w:r>
          </w:p>
        </w:tc>
        <w:tc>
          <w:tcPr>
            <w:tcW w:w="2880" w:type="dxa"/>
            <w:tcBorders/>
          </w:tcPr>
          <w:p>
            <w:pPr>
              <w:pStyle w:val="Para"/>
              <w:spacing w:before="0" w:after="120"/>
              <w:ind w:hanging="0" w:end="0"/>
              <w:jc w:val="start"/>
              <w:rPr/>
            </w:pPr>
            <w:r>
              <w:rPr/>
              <w:t>December 2002</w:t>
            </w:r>
          </w:p>
        </w:tc>
        <w:tc>
          <w:tcPr>
            <w:tcW w:w="4788" w:type="dxa"/>
            <w:tcBorders/>
          </w:tcPr>
          <w:p>
            <w:pPr>
              <w:pStyle w:val="Para"/>
              <w:spacing w:before="0" w:after="120"/>
              <w:ind w:hanging="0" w:end="0"/>
              <w:rPr/>
            </w:pPr>
            <w:r>
              <w:rPr/>
              <w:t xml:space="preserve">Earliest date under the Annexation Agreement by which the City of Deerfield Beach can change the zoning; and </w:t>
            </w:r>
          </w:p>
        </w:tc>
      </w:tr>
      <w:tr>
        <w:trPr/>
        <w:tc>
          <w:tcPr>
            <w:tcW w:w="1908" w:type="dxa"/>
            <w:vMerge w:val="continue"/>
            <w:tcBorders/>
          </w:tcPr>
          <w:p>
            <w:pPr>
              <w:pStyle w:val="Para"/>
              <w:snapToGrid w:val="false"/>
              <w:spacing w:before="0" w:after="120"/>
              <w:ind w:hanging="0" w:end="0"/>
              <w:rPr/>
            </w:pPr>
            <w:r>
              <w:rPr/>
            </w:r>
          </w:p>
        </w:tc>
        <w:tc>
          <w:tcPr>
            <w:tcW w:w="2880" w:type="dxa"/>
            <w:tcBorders/>
          </w:tcPr>
          <w:p>
            <w:pPr>
              <w:pStyle w:val="Para"/>
              <w:spacing w:before="0" w:after="120"/>
              <w:ind w:hanging="0" w:end="0"/>
              <w:jc w:val="start"/>
              <w:rPr/>
            </w:pPr>
            <w:r>
              <w:rPr/>
              <w:t>March 15, 2003</w:t>
            </w:r>
          </w:p>
        </w:tc>
        <w:tc>
          <w:tcPr>
            <w:tcW w:w="4788" w:type="dxa"/>
            <w:tcBorders/>
          </w:tcPr>
          <w:p>
            <w:pPr>
              <w:pStyle w:val="Para"/>
              <w:spacing w:before="0" w:after="120"/>
              <w:ind w:hanging="0" w:end="0"/>
              <w:rPr/>
            </w:pPr>
            <w:r>
              <w:rPr/>
              <w:t>Deadline for obtaining building permit or site plan approval expires.</w:t>
            </w:r>
          </w:p>
        </w:tc>
      </w:tr>
    </w:tbl>
    <w:p>
      <w:pPr>
        <w:pStyle w:val="Para"/>
        <w:rPr/>
      </w:pPr>
      <w:r>
        <w:rPr/>
      </w:r>
    </w:p>
    <w:p>
      <w:pPr>
        <w:pStyle w:val="Para"/>
        <w:rPr/>
      </w:pPr>
      <w:r>
        <w:rPr/>
        <w:t xml:space="preserve">The dates enumerated above are concrete deadlines, with the exception of the May 2002 time frame for legislatively curing the County’s lack of air permitting authority over power plants. </w:t>
      </w:r>
    </w:p>
    <w:p>
      <w:pPr>
        <w:pStyle w:val="Heading"/>
        <w:jc w:val="start"/>
        <w:rPr/>
      </w:pPr>
      <w:r>
        <w:rPr/>
        <w:t>B.</w:t>
        <w:tab/>
      </w:r>
      <w:r>
        <w:rPr>
          <w:u w:val="single"/>
        </w:rPr>
        <w:t>Air Permit Challenge</w:t>
      </w:r>
    </w:p>
    <w:tbl>
      <w:tblPr>
        <w:tblW w:w="9576" w:type="dxa"/>
        <w:jc w:val="start"/>
        <w:tblInd w:w="0" w:type="dxa"/>
        <w:tblLayout w:type="fixed"/>
        <w:tblCellMar>
          <w:top w:w="0" w:type="dxa"/>
          <w:start w:w="108" w:type="dxa"/>
          <w:bottom w:w="0" w:type="dxa"/>
          <w:end w:w="108" w:type="dxa"/>
        </w:tblCellMar>
      </w:tblPr>
      <w:tblGrid>
        <w:gridCol w:w="1728"/>
        <w:gridCol w:w="3960"/>
        <w:gridCol w:w="3888"/>
      </w:tblGrid>
      <w:tr>
        <w:trPr/>
        <w:tc>
          <w:tcPr>
            <w:tcW w:w="1728" w:type="dxa"/>
            <w:tcBorders/>
          </w:tcPr>
          <w:p>
            <w:pPr>
              <w:pStyle w:val="Para"/>
              <w:spacing w:before="0" w:after="120"/>
              <w:ind w:hanging="0" w:end="0"/>
              <w:jc w:val="start"/>
              <w:rPr/>
            </w:pPr>
            <w:r>
              <w:rPr>
                <w:b/>
                <w:bCs/>
                <w:u w:val="single"/>
              </w:rPr>
              <w:t>Best Case</w:t>
            </w:r>
            <w:r>
              <w:rPr/>
              <w:t>:</w:t>
            </w:r>
          </w:p>
        </w:tc>
        <w:tc>
          <w:tcPr>
            <w:tcW w:w="3960" w:type="dxa"/>
            <w:tcBorders/>
          </w:tcPr>
          <w:p>
            <w:pPr>
              <w:pStyle w:val="Para"/>
              <w:spacing w:before="0" w:after="120"/>
              <w:ind w:hanging="0" w:end="0"/>
              <w:jc w:val="start"/>
              <w:rPr/>
            </w:pPr>
            <w:r>
              <w:rPr/>
              <w:t xml:space="preserve">Administrative Hearing Completion </w:t>
            </w:r>
          </w:p>
        </w:tc>
        <w:tc>
          <w:tcPr>
            <w:tcW w:w="3888" w:type="dxa"/>
            <w:tcBorders/>
          </w:tcPr>
          <w:p>
            <w:pPr>
              <w:pStyle w:val="Para"/>
              <w:spacing w:before="0" w:after="120"/>
              <w:ind w:hanging="0" w:end="0"/>
              <w:rPr/>
            </w:pPr>
            <w:r>
              <w:rPr/>
              <w:t>End of November 2001</w:t>
            </w:r>
            <w:r>
              <w:rPr>
                <w:rStyle w:val="FootnoteCharacters"/>
                <w:rStyle w:val="FootnoteReference"/>
              </w:rPr>
              <w:footnoteReference w:id="2"/>
            </w:r>
            <w:r>
              <w:rPr/>
              <w:t>;</w:t>
            </w:r>
          </w:p>
        </w:tc>
      </w:tr>
      <w:tr>
        <w:trPr/>
        <w:tc>
          <w:tcPr>
            <w:tcW w:w="1728" w:type="dxa"/>
            <w:vMerge w:val="restart"/>
            <w:tcBorders/>
          </w:tcPr>
          <w:p>
            <w:pPr>
              <w:pStyle w:val="Para"/>
              <w:snapToGrid w:val="false"/>
              <w:spacing w:before="0" w:after="120"/>
              <w:rPr/>
            </w:pPr>
            <w:r>
              <w:rPr/>
            </w:r>
          </w:p>
        </w:tc>
        <w:tc>
          <w:tcPr>
            <w:tcW w:w="3960" w:type="dxa"/>
            <w:tcBorders/>
          </w:tcPr>
          <w:p>
            <w:pPr>
              <w:pStyle w:val="Para"/>
              <w:spacing w:before="0" w:after="120"/>
              <w:ind w:hanging="0" w:end="0"/>
              <w:jc w:val="start"/>
              <w:rPr/>
            </w:pPr>
            <w:r>
              <w:rPr/>
              <w:t>Final Order</w:t>
            </w:r>
          </w:p>
        </w:tc>
        <w:tc>
          <w:tcPr>
            <w:tcW w:w="3888" w:type="dxa"/>
            <w:tcBorders/>
          </w:tcPr>
          <w:p>
            <w:pPr>
              <w:pStyle w:val="Para"/>
              <w:spacing w:before="0" w:after="120"/>
              <w:ind w:hanging="0" w:end="0"/>
              <w:rPr/>
            </w:pPr>
            <w:r>
              <w:rPr/>
              <w:t>April 2001 (4 months);</w:t>
            </w:r>
          </w:p>
        </w:tc>
      </w:tr>
      <w:tr>
        <w:trPr/>
        <w:tc>
          <w:tcPr>
            <w:tcW w:w="1728" w:type="dxa"/>
            <w:vMerge w:val="continue"/>
            <w:tcBorders/>
          </w:tcPr>
          <w:p>
            <w:pPr>
              <w:pStyle w:val="Para"/>
              <w:snapToGrid w:val="false"/>
              <w:spacing w:before="0" w:after="120"/>
              <w:rPr/>
            </w:pPr>
            <w:r>
              <w:rPr/>
            </w:r>
          </w:p>
        </w:tc>
        <w:tc>
          <w:tcPr>
            <w:tcW w:w="3960" w:type="dxa"/>
            <w:tcBorders/>
          </w:tcPr>
          <w:p>
            <w:pPr>
              <w:pStyle w:val="Para"/>
              <w:spacing w:before="0" w:after="120"/>
              <w:ind w:hanging="0" w:end="0"/>
              <w:jc w:val="start"/>
              <w:rPr/>
            </w:pPr>
            <w:r>
              <w:rPr/>
              <w:t>Filing of Appeal</w:t>
            </w:r>
          </w:p>
        </w:tc>
        <w:tc>
          <w:tcPr>
            <w:tcW w:w="3888" w:type="dxa"/>
            <w:tcBorders/>
          </w:tcPr>
          <w:p>
            <w:pPr>
              <w:pStyle w:val="Para"/>
              <w:spacing w:before="0" w:after="120"/>
              <w:ind w:hanging="0" w:end="0"/>
              <w:rPr/>
            </w:pPr>
            <w:r>
              <w:rPr/>
              <w:t>May 2001 (1 month); and</w:t>
            </w:r>
          </w:p>
        </w:tc>
      </w:tr>
      <w:tr>
        <w:trPr/>
        <w:tc>
          <w:tcPr>
            <w:tcW w:w="1728" w:type="dxa"/>
            <w:vMerge w:val="continue"/>
            <w:tcBorders/>
          </w:tcPr>
          <w:p>
            <w:pPr>
              <w:pStyle w:val="Para"/>
              <w:snapToGrid w:val="false"/>
              <w:spacing w:before="0" w:after="120"/>
              <w:ind w:hanging="0" w:end="0"/>
              <w:rPr/>
            </w:pPr>
            <w:r>
              <w:rPr/>
            </w:r>
          </w:p>
        </w:tc>
        <w:tc>
          <w:tcPr>
            <w:tcW w:w="3960" w:type="dxa"/>
            <w:tcBorders/>
          </w:tcPr>
          <w:p>
            <w:pPr>
              <w:pStyle w:val="Para"/>
              <w:spacing w:before="0" w:after="120"/>
              <w:ind w:hanging="0" w:end="0"/>
              <w:jc w:val="start"/>
              <w:rPr/>
            </w:pPr>
            <w:r>
              <w:rPr/>
              <w:t>If Appellate Review is sought</w:t>
            </w:r>
          </w:p>
        </w:tc>
        <w:tc>
          <w:tcPr>
            <w:tcW w:w="3888" w:type="dxa"/>
            <w:tcBorders/>
          </w:tcPr>
          <w:p>
            <w:pPr>
              <w:pStyle w:val="Para"/>
              <w:spacing w:before="0" w:after="120"/>
              <w:ind w:hanging="0" w:end="0"/>
              <w:rPr/>
            </w:pPr>
            <w:r>
              <w:rPr/>
              <w:t>November 2001 – November 2002 (best to worst case ranges for conclusion of appeal) (6-18 months).</w:t>
            </w:r>
          </w:p>
        </w:tc>
      </w:tr>
      <w:tr>
        <w:trPr/>
        <w:tc>
          <w:tcPr>
            <w:tcW w:w="1728" w:type="dxa"/>
            <w:vMerge w:val="continue"/>
            <w:tcBorders/>
          </w:tcPr>
          <w:p>
            <w:pPr>
              <w:pStyle w:val="Para"/>
              <w:snapToGrid w:val="false"/>
              <w:spacing w:before="0" w:after="120"/>
              <w:ind w:hanging="0" w:end="0"/>
              <w:rPr/>
            </w:pPr>
            <w:r>
              <w:rPr/>
            </w:r>
          </w:p>
        </w:tc>
        <w:tc>
          <w:tcPr>
            <w:tcW w:w="3960" w:type="dxa"/>
            <w:tcBorders/>
          </w:tcPr>
          <w:p>
            <w:pPr>
              <w:pStyle w:val="Para"/>
              <w:snapToGrid w:val="false"/>
              <w:spacing w:before="0" w:after="120"/>
              <w:ind w:hanging="0" w:end="0"/>
              <w:jc w:val="start"/>
              <w:rPr/>
            </w:pPr>
            <w:r>
              <w:rPr/>
            </w:r>
          </w:p>
        </w:tc>
        <w:tc>
          <w:tcPr>
            <w:tcW w:w="3888" w:type="dxa"/>
            <w:tcBorders/>
          </w:tcPr>
          <w:p>
            <w:pPr>
              <w:pStyle w:val="Para"/>
              <w:snapToGrid w:val="false"/>
              <w:spacing w:before="0" w:after="120"/>
              <w:ind w:hanging="0" w:end="0"/>
              <w:rPr/>
            </w:pPr>
            <w:r>
              <w:rPr/>
            </w:r>
          </w:p>
        </w:tc>
      </w:tr>
      <w:tr>
        <w:trPr/>
        <w:tc>
          <w:tcPr>
            <w:tcW w:w="1728" w:type="dxa"/>
            <w:tcBorders/>
          </w:tcPr>
          <w:p>
            <w:pPr>
              <w:pStyle w:val="Para"/>
              <w:spacing w:before="0" w:after="120"/>
              <w:ind w:hanging="0" w:end="0"/>
              <w:rPr/>
            </w:pPr>
            <w:r>
              <w:rPr>
                <w:b/>
                <w:bCs/>
                <w:u w:val="single"/>
              </w:rPr>
              <w:t>Worst Case</w:t>
            </w:r>
            <w:r>
              <w:rPr/>
              <w:t>:</w:t>
            </w:r>
          </w:p>
        </w:tc>
        <w:tc>
          <w:tcPr>
            <w:tcW w:w="3960" w:type="dxa"/>
            <w:tcBorders/>
          </w:tcPr>
          <w:p>
            <w:pPr>
              <w:pStyle w:val="Para"/>
              <w:spacing w:before="0" w:after="120"/>
              <w:ind w:hanging="0" w:end="0"/>
              <w:jc w:val="start"/>
              <w:rPr/>
            </w:pPr>
            <w:r>
              <w:rPr/>
              <w:t>Administrative Hearing Completion</w:t>
            </w:r>
          </w:p>
        </w:tc>
        <w:tc>
          <w:tcPr>
            <w:tcW w:w="3888" w:type="dxa"/>
            <w:tcBorders/>
          </w:tcPr>
          <w:p>
            <w:pPr>
              <w:pStyle w:val="Para"/>
              <w:spacing w:before="0" w:after="120"/>
              <w:ind w:hanging="0" w:end="0"/>
              <w:rPr/>
            </w:pPr>
            <w:r>
              <w:rPr/>
              <w:t>January 2002</w:t>
            </w:r>
            <w:r>
              <w:rPr>
                <w:rStyle w:val="FootnoteCharacters"/>
                <w:rStyle w:val="FootnoteReference"/>
              </w:rPr>
              <w:footnoteReference w:id="3"/>
            </w:r>
            <w:r>
              <w:rPr/>
              <w:t>;</w:t>
            </w:r>
          </w:p>
        </w:tc>
      </w:tr>
      <w:tr>
        <w:trPr/>
        <w:tc>
          <w:tcPr>
            <w:tcW w:w="1728" w:type="dxa"/>
            <w:tcBorders/>
          </w:tcPr>
          <w:p>
            <w:pPr>
              <w:pStyle w:val="Para"/>
              <w:snapToGrid w:val="false"/>
              <w:spacing w:before="0" w:after="120"/>
              <w:ind w:hanging="0" w:end="0"/>
              <w:rPr/>
            </w:pPr>
            <w:r>
              <w:rPr/>
            </w:r>
          </w:p>
        </w:tc>
        <w:tc>
          <w:tcPr>
            <w:tcW w:w="3960" w:type="dxa"/>
            <w:tcBorders/>
          </w:tcPr>
          <w:p>
            <w:pPr>
              <w:pStyle w:val="Para"/>
              <w:spacing w:before="0" w:after="120"/>
              <w:ind w:hanging="0" w:end="0"/>
              <w:jc w:val="start"/>
              <w:rPr/>
            </w:pPr>
            <w:r>
              <w:rPr/>
              <w:t>Final Order</w:t>
            </w:r>
          </w:p>
        </w:tc>
        <w:tc>
          <w:tcPr>
            <w:tcW w:w="3888" w:type="dxa"/>
            <w:tcBorders/>
          </w:tcPr>
          <w:p>
            <w:pPr>
              <w:pStyle w:val="Para"/>
              <w:spacing w:before="0" w:after="120"/>
              <w:ind w:hanging="0" w:end="0"/>
              <w:rPr/>
            </w:pPr>
            <w:r>
              <w:rPr/>
              <w:t>October, 2002 (8 months);</w:t>
            </w:r>
          </w:p>
        </w:tc>
      </w:tr>
      <w:tr>
        <w:trPr/>
        <w:tc>
          <w:tcPr>
            <w:tcW w:w="1728" w:type="dxa"/>
            <w:tcBorders/>
          </w:tcPr>
          <w:p>
            <w:pPr>
              <w:pStyle w:val="Para"/>
              <w:snapToGrid w:val="false"/>
              <w:spacing w:before="0" w:after="120"/>
              <w:ind w:hanging="0" w:end="0"/>
              <w:rPr/>
            </w:pPr>
            <w:r>
              <w:rPr/>
            </w:r>
          </w:p>
        </w:tc>
        <w:tc>
          <w:tcPr>
            <w:tcW w:w="3960" w:type="dxa"/>
            <w:tcBorders/>
          </w:tcPr>
          <w:p>
            <w:pPr>
              <w:pStyle w:val="Para"/>
              <w:spacing w:before="0" w:after="120"/>
              <w:ind w:hanging="0" w:end="0"/>
              <w:jc w:val="start"/>
              <w:rPr/>
            </w:pPr>
            <w:r>
              <w:rPr/>
              <w:t>Filing of Appeal</w:t>
            </w:r>
          </w:p>
        </w:tc>
        <w:tc>
          <w:tcPr>
            <w:tcW w:w="3888" w:type="dxa"/>
            <w:tcBorders/>
          </w:tcPr>
          <w:p>
            <w:pPr>
              <w:pStyle w:val="Para"/>
              <w:spacing w:before="0" w:after="120"/>
              <w:ind w:hanging="0" w:end="0"/>
              <w:rPr/>
            </w:pPr>
            <w:r>
              <w:rPr/>
              <w:t xml:space="preserve">November 2002 (1 month); and </w:t>
            </w:r>
          </w:p>
        </w:tc>
      </w:tr>
      <w:tr>
        <w:trPr/>
        <w:tc>
          <w:tcPr>
            <w:tcW w:w="1728" w:type="dxa"/>
            <w:tcBorders/>
          </w:tcPr>
          <w:p>
            <w:pPr>
              <w:pStyle w:val="Para"/>
              <w:snapToGrid w:val="false"/>
              <w:spacing w:before="0" w:after="120"/>
              <w:ind w:hanging="0" w:end="0"/>
              <w:rPr/>
            </w:pPr>
            <w:r>
              <w:rPr/>
            </w:r>
          </w:p>
        </w:tc>
        <w:tc>
          <w:tcPr>
            <w:tcW w:w="3960" w:type="dxa"/>
            <w:tcBorders/>
          </w:tcPr>
          <w:p>
            <w:pPr>
              <w:pStyle w:val="Para"/>
              <w:spacing w:before="0" w:after="120"/>
              <w:ind w:hanging="0" w:end="0"/>
              <w:jc w:val="start"/>
              <w:rPr/>
            </w:pPr>
            <w:r>
              <w:rPr/>
              <w:t xml:space="preserve">If Appellate Review is sought </w:t>
            </w:r>
          </w:p>
        </w:tc>
        <w:tc>
          <w:tcPr>
            <w:tcW w:w="3888" w:type="dxa"/>
            <w:tcBorders/>
          </w:tcPr>
          <w:p>
            <w:pPr>
              <w:pStyle w:val="Para"/>
              <w:spacing w:before="0" w:after="120"/>
              <w:ind w:hanging="0" w:end="0"/>
              <w:rPr/>
            </w:pPr>
            <w:r>
              <w:rPr/>
              <w:t>May 2003 – May 2004 (best to worst case ranges for conclusion of appeals) (6-18 months).</w:t>
            </w:r>
          </w:p>
        </w:tc>
      </w:tr>
    </w:tbl>
    <w:p>
      <w:pPr>
        <w:pStyle w:val="Heading"/>
        <w:jc w:val="start"/>
        <w:rPr/>
      </w:pPr>
      <w:r>
        <w:rPr/>
        <w:t>C.</w:t>
        <w:tab/>
      </w:r>
      <w:r>
        <w:rPr>
          <w:u w:val="single"/>
        </w:rPr>
        <w:t>Broward County Moratorium Issues</w:t>
      </w:r>
    </w:p>
    <w:tbl>
      <w:tblPr>
        <w:tblW w:w="9576" w:type="dxa"/>
        <w:jc w:val="start"/>
        <w:tblInd w:w="0" w:type="dxa"/>
        <w:tblLayout w:type="fixed"/>
        <w:tblCellMar>
          <w:top w:w="0" w:type="dxa"/>
          <w:start w:w="108" w:type="dxa"/>
          <w:bottom w:w="0" w:type="dxa"/>
          <w:end w:w="108" w:type="dxa"/>
        </w:tblCellMar>
      </w:tblPr>
      <w:tblGrid>
        <w:gridCol w:w="1728"/>
        <w:gridCol w:w="3960"/>
        <w:gridCol w:w="3888"/>
      </w:tblGrid>
      <w:tr>
        <w:trPr/>
        <w:tc>
          <w:tcPr>
            <w:tcW w:w="1728" w:type="dxa"/>
            <w:tcBorders/>
          </w:tcPr>
          <w:p>
            <w:pPr>
              <w:pStyle w:val="Para"/>
              <w:spacing w:before="0" w:after="120"/>
              <w:ind w:hanging="0" w:end="0"/>
              <w:jc w:val="start"/>
              <w:rPr/>
            </w:pPr>
            <w:r>
              <w:rPr>
                <w:b/>
                <w:bCs/>
                <w:u w:val="single"/>
              </w:rPr>
              <w:t>Best Case</w:t>
            </w:r>
            <w:r>
              <w:rPr/>
              <w:t>:</w:t>
            </w:r>
          </w:p>
        </w:tc>
        <w:tc>
          <w:tcPr>
            <w:tcW w:w="3960" w:type="dxa"/>
            <w:tcBorders/>
          </w:tcPr>
          <w:p>
            <w:pPr>
              <w:pStyle w:val="Para"/>
              <w:spacing w:before="0" w:after="120"/>
              <w:ind w:hanging="0" w:end="0"/>
              <w:jc w:val="start"/>
              <w:rPr/>
            </w:pPr>
            <w:r>
              <w:rPr/>
              <w:t xml:space="preserve">Filing of Declaratory Statement </w:t>
            </w:r>
          </w:p>
        </w:tc>
        <w:tc>
          <w:tcPr>
            <w:tcW w:w="3888" w:type="dxa"/>
            <w:tcBorders/>
          </w:tcPr>
          <w:p>
            <w:pPr>
              <w:pStyle w:val="Para"/>
              <w:spacing w:before="0" w:after="120"/>
              <w:ind w:hanging="0" w:end="0"/>
              <w:rPr/>
            </w:pPr>
            <w:r>
              <w:rPr/>
              <w:t>October 2001 (depending on DEP discussions);</w:t>
            </w:r>
          </w:p>
        </w:tc>
      </w:tr>
      <w:tr>
        <w:trPr/>
        <w:tc>
          <w:tcPr>
            <w:tcW w:w="1728" w:type="dxa"/>
            <w:vMerge w:val="restart"/>
            <w:tcBorders/>
          </w:tcPr>
          <w:p>
            <w:pPr>
              <w:pStyle w:val="Para"/>
              <w:snapToGrid w:val="false"/>
              <w:spacing w:before="0" w:after="120"/>
              <w:rPr/>
            </w:pPr>
            <w:r>
              <w:rPr/>
            </w:r>
          </w:p>
        </w:tc>
        <w:tc>
          <w:tcPr>
            <w:tcW w:w="3960" w:type="dxa"/>
            <w:tcBorders/>
          </w:tcPr>
          <w:p>
            <w:pPr>
              <w:pStyle w:val="Para"/>
              <w:spacing w:before="0" w:after="120"/>
              <w:ind w:hanging="0" w:end="0"/>
              <w:jc w:val="start"/>
              <w:rPr/>
            </w:pPr>
            <w:r>
              <w:rPr/>
              <w:t>Issuance of Statement after Publication</w:t>
            </w:r>
          </w:p>
        </w:tc>
        <w:tc>
          <w:tcPr>
            <w:tcW w:w="3888" w:type="dxa"/>
            <w:tcBorders/>
          </w:tcPr>
          <w:p>
            <w:pPr>
              <w:pStyle w:val="Para"/>
              <w:spacing w:before="0" w:after="120"/>
              <w:ind w:hanging="0" w:end="0"/>
              <w:rPr/>
            </w:pPr>
            <w:r>
              <w:rPr/>
              <w:t>Approximately January 2002;</w:t>
            </w:r>
          </w:p>
        </w:tc>
      </w:tr>
      <w:tr>
        <w:trPr/>
        <w:tc>
          <w:tcPr>
            <w:tcW w:w="1728" w:type="dxa"/>
            <w:vMerge w:val="continue"/>
            <w:tcBorders/>
          </w:tcPr>
          <w:p>
            <w:pPr>
              <w:pStyle w:val="Para"/>
              <w:snapToGrid w:val="false"/>
              <w:spacing w:before="0" w:after="120"/>
              <w:rPr/>
            </w:pPr>
            <w:r>
              <w:rPr/>
            </w:r>
          </w:p>
        </w:tc>
        <w:tc>
          <w:tcPr>
            <w:tcW w:w="3960" w:type="dxa"/>
            <w:tcBorders/>
          </w:tcPr>
          <w:p>
            <w:pPr>
              <w:pStyle w:val="Para"/>
              <w:spacing w:before="0" w:after="120"/>
              <w:ind w:hanging="0" w:end="0"/>
              <w:jc w:val="start"/>
              <w:rPr/>
            </w:pPr>
            <w:r>
              <w:rPr/>
              <w:t>Filing of Appeal</w:t>
            </w:r>
          </w:p>
        </w:tc>
        <w:tc>
          <w:tcPr>
            <w:tcW w:w="3888" w:type="dxa"/>
            <w:tcBorders/>
          </w:tcPr>
          <w:p>
            <w:pPr>
              <w:pStyle w:val="Para"/>
              <w:spacing w:before="0" w:after="120"/>
              <w:ind w:hanging="0" w:end="0"/>
              <w:rPr/>
            </w:pPr>
            <w:r>
              <w:rPr/>
              <w:t xml:space="preserve">February 2002; and </w:t>
            </w:r>
          </w:p>
        </w:tc>
      </w:tr>
      <w:tr>
        <w:trPr/>
        <w:tc>
          <w:tcPr>
            <w:tcW w:w="1728" w:type="dxa"/>
            <w:vMerge w:val="continue"/>
            <w:tcBorders/>
          </w:tcPr>
          <w:p>
            <w:pPr>
              <w:pStyle w:val="Para"/>
              <w:snapToGrid w:val="false"/>
              <w:spacing w:before="0" w:after="120"/>
              <w:ind w:hanging="0" w:end="0"/>
              <w:rPr/>
            </w:pPr>
            <w:r>
              <w:rPr/>
            </w:r>
          </w:p>
        </w:tc>
        <w:tc>
          <w:tcPr>
            <w:tcW w:w="3960" w:type="dxa"/>
            <w:tcBorders/>
          </w:tcPr>
          <w:p>
            <w:pPr>
              <w:pStyle w:val="Para"/>
              <w:spacing w:before="0" w:after="120"/>
              <w:ind w:hanging="0" w:end="0"/>
              <w:jc w:val="start"/>
              <w:rPr/>
            </w:pPr>
            <w:r>
              <w:rPr/>
              <w:t>If Appellate Review is sought</w:t>
            </w:r>
          </w:p>
        </w:tc>
        <w:tc>
          <w:tcPr>
            <w:tcW w:w="3888" w:type="dxa"/>
            <w:tcBorders/>
          </w:tcPr>
          <w:p>
            <w:pPr>
              <w:pStyle w:val="Para"/>
              <w:spacing w:before="0" w:after="120"/>
              <w:ind w:hanging="0" w:end="0"/>
              <w:rPr/>
            </w:pPr>
            <w:r>
              <w:rPr/>
              <w:t>August 2002 – August 2003 (best to worst case ranges for conclusion of appeals) (6-18 months).</w:t>
            </w:r>
          </w:p>
        </w:tc>
      </w:tr>
      <w:tr>
        <w:trPr/>
        <w:tc>
          <w:tcPr>
            <w:tcW w:w="1728" w:type="dxa"/>
            <w:vMerge w:val="continue"/>
            <w:tcBorders/>
          </w:tcPr>
          <w:p>
            <w:pPr>
              <w:pStyle w:val="Para"/>
              <w:snapToGrid w:val="false"/>
              <w:spacing w:before="0" w:after="120"/>
              <w:ind w:hanging="0" w:end="0"/>
              <w:rPr/>
            </w:pPr>
            <w:r>
              <w:rPr/>
            </w:r>
          </w:p>
        </w:tc>
        <w:tc>
          <w:tcPr>
            <w:tcW w:w="3960" w:type="dxa"/>
            <w:tcBorders/>
          </w:tcPr>
          <w:p>
            <w:pPr>
              <w:pStyle w:val="Para"/>
              <w:snapToGrid w:val="false"/>
              <w:spacing w:before="0" w:after="120"/>
              <w:ind w:hanging="0" w:end="0"/>
              <w:jc w:val="start"/>
              <w:rPr/>
            </w:pPr>
            <w:r>
              <w:rPr/>
            </w:r>
          </w:p>
        </w:tc>
        <w:tc>
          <w:tcPr>
            <w:tcW w:w="3888" w:type="dxa"/>
            <w:tcBorders/>
          </w:tcPr>
          <w:p>
            <w:pPr>
              <w:pStyle w:val="Para"/>
              <w:snapToGrid w:val="false"/>
              <w:spacing w:before="0" w:after="120"/>
              <w:ind w:hanging="0" w:end="0"/>
              <w:rPr/>
            </w:pPr>
            <w:r>
              <w:rPr/>
            </w:r>
          </w:p>
        </w:tc>
      </w:tr>
      <w:tr>
        <w:trPr/>
        <w:tc>
          <w:tcPr>
            <w:tcW w:w="1728" w:type="dxa"/>
            <w:tcBorders/>
          </w:tcPr>
          <w:p>
            <w:pPr>
              <w:pStyle w:val="Para"/>
              <w:spacing w:before="0" w:after="120"/>
              <w:ind w:hanging="0" w:end="0"/>
              <w:rPr/>
            </w:pPr>
            <w:r>
              <w:rPr>
                <w:b/>
                <w:bCs/>
                <w:u w:val="single"/>
              </w:rPr>
              <w:t>Worst Case</w:t>
            </w:r>
            <w:r>
              <w:rPr>
                <w:rStyle w:val="FootnoteCharacters"/>
                <w:rStyle w:val="FootnoteReference"/>
                <w:b/>
                <w:bCs/>
                <w:u w:val="single"/>
              </w:rPr>
              <w:footnoteReference w:id="4"/>
            </w:r>
            <w:r>
              <w:rPr/>
              <w:t>:</w:t>
            </w:r>
          </w:p>
        </w:tc>
        <w:tc>
          <w:tcPr>
            <w:tcW w:w="3960" w:type="dxa"/>
            <w:tcBorders/>
          </w:tcPr>
          <w:p>
            <w:pPr>
              <w:pStyle w:val="Para"/>
              <w:spacing w:before="0" w:after="120"/>
              <w:ind w:hanging="0" w:end="0"/>
              <w:jc w:val="start"/>
              <w:rPr/>
            </w:pPr>
            <w:r>
              <w:rPr/>
              <w:t xml:space="preserve">Filing of Declaratory Statement </w:t>
            </w:r>
          </w:p>
        </w:tc>
        <w:tc>
          <w:tcPr>
            <w:tcW w:w="3888" w:type="dxa"/>
            <w:tcBorders/>
          </w:tcPr>
          <w:p>
            <w:pPr>
              <w:pStyle w:val="Para"/>
              <w:spacing w:before="0" w:after="120"/>
              <w:ind w:hanging="0" w:end="0"/>
              <w:rPr/>
            </w:pPr>
            <w:r>
              <w:rPr/>
              <w:t>November 2001 (depending upon DEP discussions);</w:t>
            </w:r>
          </w:p>
        </w:tc>
      </w:tr>
      <w:tr>
        <w:trPr/>
        <w:tc>
          <w:tcPr>
            <w:tcW w:w="1728" w:type="dxa"/>
            <w:tcBorders/>
          </w:tcPr>
          <w:p>
            <w:pPr>
              <w:pStyle w:val="Para"/>
              <w:snapToGrid w:val="false"/>
              <w:spacing w:before="0" w:after="120"/>
              <w:ind w:hanging="0" w:end="0"/>
              <w:rPr/>
            </w:pPr>
            <w:r>
              <w:rPr/>
            </w:r>
          </w:p>
        </w:tc>
        <w:tc>
          <w:tcPr>
            <w:tcW w:w="3960" w:type="dxa"/>
            <w:tcBorders/>
          </w:tcPr>
          <w:p>
            <w:pPr>
              <w:pStyle w:val="Para"/>
              <w:spacing w:before="0" w:after="120"/>
              <w:ind w:hanging="0" w:end="0"/>
              <w:jc w:val="start"/>
              <w:rPr/>
            </w:pPr>
            <w:r>
              <w:rPr/>
              <w:t>If Petition for Administrative Hearing is filed</w:t>
            </w:r>
          </w:p>
        </w:tc>
        <w:tc>
          <w:tcPr>
            <w:tcW w:w="3888" w:type="dxa"/>
            <w:tcBorders/>
          </w:tcPr>
          <w:p>
            <w:pPr>
              <w:pStyle w:val="Para"/>
              <w:spacing w:before="0" w:after="120"/>
              <w:ind w:hanging="0" w:end="0"/>
              <w:rPr/>
            </w:pPr>
            <w:r>
              <w:rPr/>
              <w:t xml:space="preserve">December 2001 (filing with prescribed time frames after publication of request); </w:t>
            </w:r>
          </w:p>
        </w:tc>
      </w:tr>
      <w:tr>
        <w:trPr/>
        <w:tc>
          <w:tcPr>
            <w:tcW w:w="1728" w:type="dxa"/>
            <w:tcBorders/>
          </w:tcPr>
          <w:p>
            <w:pPr>
              <w:pStyle w:val="Para"/>
              <w:snapToGrid w:val="false"/>
              <w:spacing w:before="0" w:after="120"/>
              <w:ind w:hanging="0" w:end="0"/>
              <w:rPr/>
            </w:pPr>
            <w:r>
              <w:rPr/>
            </w:r>
          </w:p>
        </w:tc>
        <w:tc>
          <w:tcPr>
            <w:tcW w:w="3960" w:type="dxa"/>
            <w:tcBorders/>
          </w:tcPr>
          <w:p>
            <w:pPr>
              <w:pStyle w:val="Para"/>
              <w:spacing w:before="0" w:after="120"/>
              <w:ind w:hanging="0" w:end="0"/>
              <w:jc w:val="start"/>
              <w:rPr/>
            </w:pPr>
            <w:r>
              <w:rPr/>
              <w:t>Administrative Hearing</w:t>
            </w:r>
          </w:p>
        </w:tc>
        <w:tc>
          <w:tcPr>
            <w:tcW w:w="3888" w:type="dxa"/>
            <w:tcBorders/>
          </w:tcPr>
          <w:p>
            <w:pPr>
              <w:pStyle w:val="Para"/>
              <w:spacing w:before="0" w:after="120"/>
              <w:ind w:hanging="0" w:end="0"/>
              <w:rPr/>
            </w:pPr>
            <w:r>
              <w:rPr/>
              <w:t xml:space="preserve">December 2002 (includes pre-hearing motion practice and hearing); and </w:t>
            </w:r>
          </w:p>
        </w:tc>
      </w:tr>
      <w:tr>
        <w:trPr/>
        <w:tc>
          <w:tcPr>
            <w:tcW w:w="1728" w:type="dxa"/>
            <w:tcBorders/>
          </w:tcPr>
          <w:p>
            <w:pPr>
              <w:pStyle w:val="Para"/>
              <w:snapToGrid w:val="false"/>
              <w:spacing w:before="0" w:after="120"/>
              <w:ind w:hanging="0" w:end="0"/>
              <w:rPr/>
            </w:pPr>
            <w:r>
              <w:rPr/>
            </w:r>
          </w:p>
        </w:tc>
        <w:tc>
          <w:tcPr>
            <w:tcW w:w="3960" w:type="dxa"/>
            <w:tcBorders/>
          </w:tcPr>
          <w:p>
            <w:pPr>
              <w:pStyle w:val="Para"/>
              <w:spacing w:before="0" w:after="120"/>
              <w:ind w:hanging="0" w:end="0"/>
              <w:jc w:val="start"/>
              <w:rPr/>
            </w:pPr>
            <w:r>
              <w:rPr/>
              <w:t>If Appellate Review is sought</w:t>
            </w:r>
          </w:p>
        </w:tc>
        <w:tc>
          <w:tcPr>
            <w:tcW w:w="3888" w:type="dxa"/>
            <w:tcBorders/>
          </w:tcPr>
          <w:p>
            <w:pPr>
              <w:pStyle w:val="Para"/>
              <w:spacing w:before="0" w:after="120"/>
              <w:ind w:hanging="0" w:end="0"/>
              <w:rPr/>
            </w:pPr>
            <w:r>
              <w:rPr/>
              <w:t xml:space="preserve">Mid June 2003 – Mid June 2004 (best to worst case ranges for conclusion of appeals) (6-18 months). </w:t>
            </w:r>
          </w:p>
        </w:tc>
      </w:tr>
    </w:tbl>
    <w:p>
      <w:pPr>
        <w:pStyle w:val="Heading"/>
        <w:jc w:val="start"/>
        <w:rPr/>
      </w:pPr>
      <w:r>
        <w:rPr/>
        <w:t>D.</w:t>
        <w:tab/>
      </w:r>
      <w:r>
        <w:rPr>
          <w:u w:val="single"/>
        </w:rPr>
        <w:t>Coconut Creek Lawsuit</w:t>
      </w:r>
    </w:p>
    <w:tbl>
      <w:tblPr>
        <w:tblW w:w="9576" w:type="dxa"/>
        <w:jc w:val="start"/>
        <w:tblInd w:w="0" w:type="dxa"/>
        <w:tblLayout w:type="fixed"/>
        <w:tblCellMar>
          <w:top w:w="0" w:type="dxa"/>
          <w:start w:w="108" w:type="dxa"/>
          <w:bottom w:w="0" w:type="dxa"/>
          <w:end w:w="108" w:type="dxa"/>
        </w:tblCellMar>
      </w:tblPr>
      <w:tblGrid>
        <w:gridCol w:w="1728"/>
        <w:gridCol w:w="3960"/>
        <w:gridCol w:w="3888"/>
      </w:tblGrid>
      <w:tr>
        <w:trPr/>
        <w:tc>
          <w:tcPr>
            <w:tcW w:w="1728" w:type="dxa"/>
            <w:tcBorders/>
          </w:tcPr>
          <w:p>
            <w:pPr>
              <w:pStyle w:val="Para"/>
              <w:spacing w:before="0" w:after="120"/>
              <w:ind w:hanging="0" w:end="0"/>
              <w:jc w:val="start"/>
              <w:rPr/>
            </w:pPr>
            <w:r>
              <w:rPr>
                <w:b/>
                <w:bCs/>
                <w:u w:val="single"/>
              </w:rPr>
              <w:t>Best Case</w:t>
            </w:r>
            <w:r>
              <w:rPr/>
              <w:t>:</w:t>
            </w:r>
          </w:p>
        </w:tc>
        <w:tc>
          <w:tcPr>
            <w:tcW w:w="3960" w:type="dxa"/>
            <w:tcBorders/>
          </w:tcPr>
          <w:p>
            <w:pPr>
              <w:pStyle w:val="Para"/>
              <w:spacing w:before="0" w:after="120"/>
              <w:ind w:hanging="0" w:end="0"/>
              <w:jc w:val="start"/>
              <w:rPr>
                <w:u w:val="double"/>
              </w:rPr>
            </w:pPr>
            <w:r>
              <w:rPr/>
              <w:t>Successful Motion to Dismiss</w:t>
            </w:r>
          </w:p>
        </w:tc>
        <w:tc>
          <w:tcPr>
            <w:tcW w:w="3888" w:type="dxa"/>
            <w:tcBorders/>
          </w:tcPr>
          <w:p>
            <w:pPr>
              <w:pStyle w:val="Para"/>
              <w:spacing w:before="0" w:after="120"/>
              <w:ind w:hanging="0" w:end="0"/>
              <w:rPr/>
            </w:pPr>
            <w:r>
              <w:rPr/>
              <w:t xml:space="preserve">October 8, 2001 (written order should be issued in a reasonable period of time thereafter). </w:t>
            </w:r>
          </w:p>
        </w:tc>
      </w:tr>
      <w:tr>
        <w:trPr/>
        <w:tc>
          <w:tcPr>
            <w:tcW w:w="1728" w:type="dxa"/>
            <w:tcBorders/>
          </w:tcPr>
          <w:p>
            <w:pPr>
              <w:pStyle w:val="Para"/>
              <w:snapToGrid w:val="false"/>
              <w:spacing w:before="0" w:after="120"/>
              <w:ind w:hanging="0" w:end="0"/>
              <w:jc w:val="start"/>
              <w:rPr>
                <w:b/>
                <w:bCs/>
                <w:u w:val="single"/>
              </w:rPr>
            </w:pPr>
            <w:r>
              <w:rPr>
                <w:b/>
                <w:bCs/>
                <w:u w:val="single"/>
              </w:rPr>
            </w:r>
          </w:p>
        </w:tc>
        <w:tc>
          <w:tcPr>
            <w:tcW w:w="3960" w:type="dxa"/>
            <w:tcBorders/>
          </w:tcPr>
          <w:p>
            <w:pPr>
              <w:pStyle w:val="Para"/>
              <w:snapToGrid w:val="false"/>
              <w:spacing w:before="0" w:after="120"/>
              <w:ind w:hanging="0" w:end="0"/>
              <w:jc w:val="start"/>
              <w:rPr>
                <w:b/>
                <w:bCs/>
                <w:u w:val="single"/>
              </w:rPr>
            </w:pPr>
            <w:r>
              <w:rPr>
                <w:b/>
                <w:bCs/>
                <w:u w:val="single"/>
              </w:rPr>
            </w:r>
          </w:p>
        </w:tc>
        <w:tc>
          <w:tcPr>
            <w:tcW w:w="3888" w:type="dxa"/>
            <w:tcBorders/>
          </w:tcPr>
          <w:p>
            <w:pPr>
              <w:pStyle w:val="Para"/>
              <w:snapToGrid w:val="false"/>
              <w:spacing w:before="0" w:after="120"/>
              <w:ind w:hanging="0" w:end="0"/>
              <w:rPr/>
            </w:pPr>
            <w:r>
              <w:rPr/>
            </w:r>
          </w:p>
        </w:tc>
      </w:tr>
      <w:tr>
        <w:trPr/>
        <w:tc>
          <w:tcPr>
            <w:tcW w:w="1728" w:type="dxa"/>
            <w:tcBorders/>
          </w:tcPr>
          <w:p>
            <w:pPr>
              <w:pStyle w:val="Para"/>
              <w:snapToGrid w:val="false"/>
              <w:spacing w:before="0" w:after="120"/>
              <w:ind w:hanging="0" w:end="0"/>
              <w:jc w:val="start"/>
              <w:rPr>
                <w:b/>
                <w:bCs/>
                <w:u w:val="single"/>
              </w:rPr>
            </w:pPr>
            <w:r>
              <w:rPr>
                <w:b/>
                <w:bCs/>
                <w:u w:val="single"/>
              </w:rPr>
            </w:r>
          </w:p>
        </w:tc>
        <w:tc>
          <w:tcPr>
            <w:tcW w:w="3960" w:type="dxa"/>
            <w:tcBorders/>
          </w:tcPr>
          <w:p>
            <w:pPr>
              <w:pStyle w:val="Para"/>
              <w:spacing w:before="0" w:after="120"/>
              <w:ind w:hanging="0" w:end="0"/>
              <w:jc w:val="start"/>
              <w:rPr/>
            </w:pPr>
            <w:r>
              <w:rPr/>
              <w:t>If Appellate Review or Other Challenge to Order on Motion to Dismiss is sought</w:t>
            </w:r>
          </w:p>
        </w:tc>
        <w:tc>
          <w:tcPr>
            <w:tcW w:w="3888" w:type="dxa"/>
            <w:tcBorders/>
          </w:tcPr>
          <w:p>
            <w:pPr>
              <w:pStyle w:val="Para"/>
              <w:spacing w:before="0" w:after="120"/>
              <w:ind w:hanging="0" w:end="0"/>
              <w:rPr/>
            </w:pPr>
            <w:r>
              <w:rPr/>
              <w:t xml:space="preserve">April 2002-April 2003 (6-18 months).  </w:t>
            </w:r>
          </w:p>
        </w:tc>
      </w:tr>
      <w:tr>
        <w:trPr/>
        <w:tc>
          <w:tcPr>
            <w:tcW w:w="1728" w:type="dxa"/>
            <w:tcBorders/>
          </w:tcPr>
          <w:p>
            <w:pPr>
              <w:pStyle w:val="Para"/>
              <w:ind w:hanging="0" w:end="0"/>
              <w:rPr/>
            </w:pPr>
            <w:r>
              <w:rPr>
                <w:b/>
                <w:bCs/>
                <w:u w:val="single"/>
              </w:rPr>
              <w:t>Worst Case</w:t>
            </w:r>
            <w:r>
              <w:rPr/>
              <w:t>:</w:t>
            </w:r>
          </w:p>
          <w:p>
            <w:pPr>
              <w:pStyle w:val="Para"/>
              <w:spacing w:before="0" w:after="120"/>
              <w:ind w:hanging="0" w:end="0"/>
              <w:rPr/>
            </w:pPr>
            <w:r>
              <w:rPr/>
            </w:r>
          </w:p>
        </w:tc>
        <w:tc>
          <w:tcPr>
            <w:tcW w:w="3960" w:type="dxa"/>
            <w:tcBorders/>
          </w:tcPr>
          <w:p>
            <w:pPr>
              <w:pStyle w:val="Para"/>
              <w:spacing w:before="0" w:after="120"/>
              <w:ind w:hanging="0" w:end="0"/>
              <w:rPr/>
            </w:pPr>
            <w:r>
              <w:rPr/>
              <w:t>Trial</w:t>
            </w:r>
          </w:p>
        </w:tc>
        <w:tc>
          <w:tcPr>
            <w:tcW w:w="3888" w:type="dxa"/>
            <w:tcBorders/>
          </w:tcPr>
          <w:p>
            <w:pPr>
              <w:pStyle w:val="Para"/>
              <w:spacing w:before="0" w:after="120"/>
              <w:ind w:hanging="0" w:end="0"/>
              <w:rPr/>
            </w:pPr>
            <w:r>
              <w:rPr/>
              <w:t xml:space="preserve">April 2003 – April 2005 (based upon the holding of a trial, after the denial of Enron’s motion to dismiss and unsuccessful appellate review) (1-2 years).  </w:t>
            </w:r>
          </w:p>
        </w:tc>
      </w:tr>
      <w:tr>
        <w:trPr/>
        <w:tc>
          <w:tcPr>
            <w:tcW w:w="1728" w:type="dxa"/>
            <w:tcBorders/>
          </w:tcPr>
          <w:p>
            <w:pPr>
              <w:pStyle w:val="Para"/>
              <w:snapToGrid w:val="false"/>
              <w:spacing w:before="0" w:after="120"/>
              <w:ind w:hanging="0" w:end="0"/>
              <w:rPr>
                <w:b/>
                <w:bCs/>
                <w:u w:val="single"/>
              </w:rPr>
            </w:pPr>
            <w:r>
              <w:rPr>
                <w:b/>
                <w:bCs/>
                <w:u w:val="single"/>
              </w:rPr>
            </w:r>
          </w:p>
        </w:tc>
        <w:tc>
          <w:tcPr>
            <w:tcW w:w="3960" w:type="dxa"/>
            <w:tcBorders/>
          </w:tcPr>
          <w:p>
            <w:pPr>
              <w:pStyle w:val="Para"/>
              <w:snapToGrid w:val="false"/>
              <w:spacing w:before="0" w:after="120"/>
              <w:ind w:hanging="0" w:end="0"/>
              <w:rPr>
                <w:b/>
                <w:bCs/>
                <w:u w:val="single"/>
              </w:rPr>
            </w:pPr>
            <w:r>
              <w:rPr>
                <w:b/>
                <w:bCs/>
                <w:u w:val="single"/>
              </w:rPr>
            </w:r>
          </w:p>
        </w:tc>
        <w:tc>
          <w:tcPr>
            <w:tcW w:w="3888" w:type="dxa"/>
            <w:tcBorders/>
          </w:tcPr>
          <w:p>
            <w:pPr>
              <w:pStyle w:val="Para"/>
              <w:snapToGrid w:val="false"/>
              <w:spacing w:before="0" w:after="120"/>
              <w:ind w:hanging="0" w:end="0"/>
              <w:rPr/>
            </w:pPr>
            <w:r>
              <w:rPr/>
            </w:r>
          </w:p>
        </w:tc>
      </w:tr>
      <w:tr>
        <w:trPr/>
        <w:tc>
          <w:tcPr>
            <w:tcW w:w="1728" w:type="dxa"/>
            <w:tcBorders/>
          </w:tcPr>
          <w:p>
            <w:pPr>
              <w:pStyle w:val="Para"/>
              <w:snapToGrid w:val="false"/>
              <w:spacing w:before="0" w:after="120"/>
              <w:ind w:hanging="0" w:end="0"/>
              <w:rPr>
                <w:b/>
                <w:bCs/>
                <w:u w:val="single"/>
              </w:rPr>
            </w:pPr>
            <w:r>
              <w:rPr>
                <w:b/>
                <w:bCs/>
                <w:u w:val="single"/>
              </w:rPr>
            </w:r>
          </w:p>
        </w:tc>
        <w:tc>
          <w:tcPr>
            <w:tcW w:w="3960" w:type="dxa"/>
            <w:tcBorders/>
          </w:tcPr>
          <w:p>
            <w:pPr>
              <w:pStyle w:val="Para"/>
              <w:spacing w:before="0" w:after="120"/>
              <w:ind w:hanging="0" w:end="0"/>
              <w:rPr/>
            </w:pPr>
            <w:r>
              <w:rPr/>
              <w:t>If Appellate Review is sought</w:t>
            </w:r>
          </w:p>
        </w:tc>
        <w:tc>
          <w:tcPr>
            <w:tcW w:w="3888" w:type="dxa"/>
            <w:tcBorders/>
          </w:tcPr>
          <w:p>
            <w:pPr>
              <w:pStyle w:val="Para"/>
              <w:spacing w:before="0" w:after="120"/>
              <w:ind w:hanging="0" w:end="0"/>
              <w:rPr/>
            </w:pPr>
            <w:r>
              <w:rPr/>
              <w:t>October 2003- October 2006 (based upon completion of a trial, to be held within the dates estimated above) (6-18 months).</w:t>
            </w:r>
          </w:p>
        </w:tc>
      </w:tr>
    </w:tbl>
    <w:p>
      <w:pPr>
        <w:pStyle w:val="Heading"/>
        <w:jc w:val="both"/>
        <w:rPr>
          <w:b w:val="false"/>
          <w:bCs w:val="false"/>
        </w:rPr>
      </w:pPr>
      <w:r>
        <w:rPr>
          <w:b w:val="false"/>
          <w:bCs w:val="false"/>
        </w:rPr>
        <w:t xml:space="preserve">The worst-case time estimate set forth above is quite speculative, given the early stage of the litigation and the number of litigation alternatives available, as outlined in the letter dated August 9, 2001, from Debbie to Kay.  A more precise estimate can be provided once we ascertain which, if any claims, survive Enron’s pending Motion to Dismiss, scheduled for hearing on October 8, 2001. </w:t>
      </w:r>
    </w:p>
    <w:p>
      <w:pPr>
        <w:pStyle w:val="Heading"/>
        <w:jc w:val="start"/>
        <w:rPr/>
      </w:pPr>
      <w:r>
        <w:rPr/>
        <w:t>E.</w:t>
        <w:tab/>
      </w:r>
      <w:r>
        <w:rPr>
          <w:u w:val="single"/>
        </w:rPr>
        <w:t>Time Constraints Recap</w:t>
      </w:r>
    </w:p>
    <w:tbl>
      <w:tblPr>
        <w:tblW w:w="9648" w:type="dxa"/>
        <w:jc w:val="start"/>
        <w:tblInd w:w="0" w:type="dxa"/>
        <w:tblLayout w:type="fixed"/>
        <w:tblCellMar>
          <w:top w:w="0" w:type="dxa"/>
          <w:start w:w="108" w:type="dxa"/>
          <w:bottom w:w="0" w:type="dxa"/>
          <w:end w:w="108" w:type="dxa"/>
        </w:tblCellMar>
      </w:tblPr>
      <w:tblGrid>
        <w:gridCol w:w="2214"/>
        <w:gridCol w:w="2610"/>
        <w:gridCol w:w="4824"/>
      </w:tblGrid>
      <w:tr>
        <w:trPr/>
        <w:tc>
          <w:tcPr>
            <w:tcW w:w="2214" w:type="dxa"/>
            <w:tcBorders/>
          </w:tcPr>
          <w:p>
            <w:pPr>
              <w:pStyle w:val="Normal"/>
              <w:rPr/>
            </w:pPr>
            <w:r>
              <w:rPr/>
              <w:t>Zoning and Annexation Issues</w:t>
            </w:r>
          </w:p>
        </w:tc>
        <w:tc>
          <w:tcPr>
            <w:tcW w:w="2610" w:type="dxa"/>
            <w:tcBorders/>
          </w:tcPr>
          <w:p>
            <w:pPr>
              <w:pStyle w:val="Normal"/>
              <w:rPr/>
            </w:pPr>
            <w:r>
              <w:rPr/>
              <w:t xml:space="preserve">December 15, 2001 </w:t>
            </w:r>
          </w:p>
        </w:tc>
        <w:tc>
          <w:tcPr>
            <w:tcW w:w="4824" w:type="dxa"/>
            <w:tcBorders/>
          </w:tcPr>
          <w:p>
            <w:pPr>
              <w:pStyle w:val="Normal"/>
              <w:rPr/>
            </w:pPr>
            <w:r>
              <w:rPr/>
              <w:t xml:space="preserve">Site plan approval deadline.   </w:t>
            </w:r>
          </w:p>
        </w:tc>
      </w:tr>
      <w:tr>
        <w:trPr/>
        <w:tc>
          <w:tcPr>
            <w:tcW w:w="2214" w:type="dxa"/>
            <w:tcBorders/>
          </w:tcPr>
          <w:p>
            <w:pPr>
              <w:pStyle w:val="Normal"/>
              <w:snapToGrid w:val="false"/>
              <w:rPr/>
            </w:pPr>
            <w:r>
              <w:rPr/>
            </w:r>
          </w:p>
        </w:tc>
        <w:tc>
          <w:tcPr>
            <w:tcW w:w="2610" w:type="dxa"/>
            <w:tcBorders/>
          </w:tcPr>
          <w:p>
            <w:pPr>
              <w:pStyle w:val="Normal"/>
              <w:snapToGrid w:val="false"/>
              <w:rPr/>
            </w:pPr>
            <w:r>
              <w:rPr/>
            </w:r>
          </w:p>
        </w:tc>
        <w:tc>
          <w:tcPr>
            <w:tcW w:w="4824" w:type="dxa"/>
            <w:tcBorders/>
          </w:tcPr>
          <w:p>
            <w:pPr>
              <w:pStyle w:val="Normal"/>
              <w:snapToGrid w:val="false"/>
              <w:rPr/>
            </w:pPr>
            <w:r>
              <w:rPr/>
            </w:r>
          </w:p>
        </w:tc>
      </w:tr>
      <w:tr>
        <w:trPr/>
        <w:tc>
          <w:tcPr>
            <w:tcW w:w="2214" w:type="dxa"/>
            <w:tcBorders/>
          </w:tcPr>
          <w:p>
            <w:pPr>
              <w:pStyle w:val="Normal"/>
              <w:snapToGrid w:val="false"/>
              <w:rPr/>
            </w:pPr>
            <w:r>
              <w:rPr/>
            </w:r>
          </w:p>
        </w:tc>
        <w:tc>
          <w:tcPr>
            <w:tcW w:w="2610" w:type="dxa"/>
            <w:tcBorders/>
          </w:tcPr>
          <w:p>
            <w:pPr>
              <w:pStyle w:val="Normal"/>
              <w:rPr/>
            </w:pPr>
            <w:r>
              <w:rPr/>
              <w:t xml:space="preserve">December 2002   </w:t>
            </w:r>
          </w:p>
        </w:tc>
        <w:tc>
          <w:tcPr>
            <w:tcW w:w="4824" w:type="dxa"/>
            <w:tcBorders/>
          </w:tcPr>
          <w:p>
            <w:pPr>
              <w:pStyle w:val="Normal"/>
              <w:rPr/>
            </w:pPr>
            <w:r>
              <w:rPr/>
              <w:t>Earliest date for any zoning change.</w:t>
            </w:r>
          </w:p>
        </w:tc>
      </w:tr>
      <w:tr>
        <w:trPr/>
        <w:tc>
          <w:tcPr>
            <w:tcW w:w="2214" w:type="dxa"/>
            <w:tcBorders/>
          </w:tcPr>
          <w:p>
            <w:pPr>
              <w:pStyle w:val="Normal"/>
              <w:snapToGrid w:val="false"/>
              <w:rPr/>
            </w:pPr>
            <w:r>
              <w:rPr/>
            </w:r>
          </w:p>
        </w:tc>
        <w:tc>
          <w:tcPr>
            <w:tcW w:w="2610" w:type="dxa"/>
            <w:tcBorders/>
          </w:tcPr>
          <w:p>
            <w:pPr>
              <w:pStyle w:val="Normal"/>
              <w:snapToGrid w:val="false"/>
              <w:rPr/>
            </w:pPr>
            <w:r>
              <w:rPr/>
            </w:r>
          </w:p>
        </w:tc>
        <w:tc>
          <w:tcPr>
            <w:tcW w:w="4824" w:type="dxa"/>
            <w:tcBorders/>
          </w:tcPr>
          <w:p>
            <w:pPr>
              <w:pStyle w:val="Normal"/>
              <w:snapToGrid w:val="false"/>
              <w:rPr/>
            </w:pPr>
            <w:r>
              <w:rPr/>
            </w:r>
          </w:p>
        </w:tc>
      </w:tr>
      <w:tr>
        <w:trPr/>
        <w:tc>
          <w:tcPr>
            <w:tcW w:w="2214" w:type="dxa"/>
            <w:tcBorders/>
          </w:tcPr>
          <w:p>
            <w:pPr>
              <w:pStyle w:val="Normal"/>
              <w:snapToGrid w:val="false"/>
              <w:rPr/>
            </w:pPr>
            <w:r>
              <w:rPr/>
            </w:r>
          </w:p>
        </w:tc>
        <w:tc>
          <w:tcPr>
            <w:tcW w:w="2610" w:type="dxa"/>
            <w:tcBorders/>
          </w:tcPr>
          <w:p>
            <w:pPr>
              <w:pStyle w:val="Normal"/>
              <w:rPr/>
            </w:pPr>
            <w:r>
              <w:rPr/>
              <w:t xml:space="preserve">May 2002 </w:t>
            </w:r>
          </w:p>
        </w:tc>
        <w:tc>
          <w:tcPr>
            <w:tcW w:w="4824" w:type="dxa"/>
            <w:tcBorders/>
          </w:tcPr>
          <w:p>
            <w:pPr>
              <w:pStyle w:val="Normal"/>
              <w:rPr/>
            </w:pPr>
            <w:r>
              <w:rPr/>
              <w:t xml:space="preserve">Earliest date for County to cure lack of air permitting authority. </w:t>
            </w:r>
          </w:p>
        </w:tc>
      </w:tr>
      <w:tr>
        <w:trPr/>
        <w:tc>
          <w:tcPr>
            <w:tcW w:w="2214" w:type="dxa"/>
            <w:tcBorders/>
          </w:tcPr>
          <w:p>
            <w:pPr>
              <w:pStyle w:val="Normal"/>
              <w:snapToGrid w:val="false"/>
              <w:rPr/>
            </w:pPr>
            <w:r>
              <w:rPr/>
            </w:r>
          </w:p>
        </w:tc>
        <w:tc>
          <w:tcPr>
            <w:tcW w:w="2610" w:type="dxa"/>
            <w:tcBorders/>
          </w:tcPr>
          <w:p>
            <w:pPr>
              <w:pStyle w:val="Normal"/>
              <w:snapToGrid w:val="false"/>
              <w:rPr/>
            </w:pPr>
            <w:r>
              <w:rPr/>
            </w:r>
          </w:p>
        </w:tc>
        <w:tc>
          <w:tcPr>
            <w:tcW w:w="4824" w:type="dxa"/>
            <w:tcBorders/>
          </w:tcPr>
          <w:p>
            <w:pPr>
              <w:pStyle w:val="Normal"/>
              <w:snapToGrid w:val="false"/>
              <w:rPr/>
            </w:pPr>
            <w:r>
              <w:rPr/>
            </w:r>
          </w:p>
        </w:tc>
      </w:tr>
      <w:tr>
        <w:trPr/>
        <w:tc>
          <w:tcPr>
            <w:tcW w:w="2214" w:type="dxa"/>
            <w:tcBorders/>
          </w:tcPr>
          <w:p>
            <w:pPr>
              <w:pStyle w:val="Normal"/>
              <w:snapToGrid w:val="false"/>
              <w:rPr/>
            </w:pPr>
            <w:r>
              <w:rPr/>
            </w:r>
          </w:p>
        </w:tc>
        <w:tc>
          <w:tcPr>
            <w:tcW w:w="2610" w:type="dxa"/>
            <w:tcBorders/>
          </w:tcPr>
          <w:p>
            <w:pPr>
              <w:pStyle w:val="Normal"/>
              <w:rPr/>
            </w:pPr>
            <w:r>
              <w:rPr/>
              <w:t xml:space="preserve">March 15, 2003 </w:t>
            </w:r>
          </w:p>
        </w:tc>
        <w:tc>
          <w:tcPr>
            <w:tcW w:w="4824" w:type="dxa"/>
            <w:tcBorders/>
          </w:tcPr>
          <w:p>
            <w:pPr>
              <w:pStyle w:val="Normal"/>
              <w:rPr/>
            </w:pPr>
            <w:r>
              <w:rPr/>
              <w:t>Building permit issuance deadline.</w:t>
            </w:r>
          </w:p>
        </w:tc>
      </w:tr>
      <w:tr>
        <w:trPr/>
        <w:tc>
          <w:tcPr>
            <w:tcW w:w="2214" w:type="dxa"/>
            <w:tcBorders/>
          </w:tcPr>
          <w:p>
            <w:pPr>
              <w:pStyle w:val="Normal"/>
              <w:snapToGrid w:val="false"/>
              <w:rPr/>
            </w:pPr>
            <w:r>
              <w:rPr/>
            </w:r>
          </w:p>
        </w:tc>
        <w:tc>
          <w:tcPr>
            <w:tcW w:w="2610" w:type="dxa"/>
            <w:tcBorders/>
          </w:tcPr>
          <w:p>
            <w:pPr>
              <w:pStyle w:val="Normal"/>
              <w:snapToGrid w:val="false"/>
              <w:rPr/>
            </w:pPr>
            <w:r>
              <w:rPr/>
            </w:r>
          </w:p>
        </w:tc>
        <w:tc>
          <w:tcPr>
            <w:tcW w:w="4824" w:type="dxa"/>
            <w:tcBorders/>
          </w:tcPr>
          <w:p>
            <w:pPr>
              <w:pStyle w:val="Normal"/>
              <w:snapToGrid w:val="false"/>
              <w:rPr/>
            </w:pPr>
            <w:r>
              <w:rPr/>
            </w:r>
          </w:p>
        </w:tc>
      </w:tr>
      <w:tr>
        <w:trPr/>
        <w:tc>
          <w:tcPr>
            <w:tcW w:w="2214" w:type="dxa"/>
            <w:tcBorders/>
          </w:tcPr>
          <w:p>
            <w:pPr>
              <w:pStyle w:val="Normal"/>
              <w:rPr/>
            </w:pPr>
            <w:r>
              <w:rPr/>
              <w:t>Air Permit Challenge</w:t>
            </w:r>
          </w:p>
        </w:tc>
        <w:tc>
          <w:tcPr>
            <w:tcW w:w="2610" w:type="dxa"/>
            <w:tcBorders/>
          </w:tcPr>
          <w:p>
            <w:pPr>
              <w:pStyle w:val="Normal"/>
              <w:rPr/>
            </w:pPr>
            <w:r>
              <w:rPr/>
              <w:t xml:space="preserve">May 2001 – </w:t>
            </w:r>
          </w:p>
          <w:p>
            <w:pPr>
              <w:pStyle w:val="Normal"/>
              <w:rPr/>
            </w:pPr>
            <w:r>
              <w:rPr/>
              <w:t xml:space="preserve">November 2002 </w:t>
            </w:r>
          </w:p>
        </w:tc>
        <w:tc>
          <w:tcPr>
            <w:tcW w:w="4824" w:type="dxa"/>
            <w:tcBorders/>
          </w:tcPr>
          <w:p>
            <w:pPr>
              <w:pStyle w:val="Normal"/>
              <w:rPr/>
            </w:pPr>
            <w:r>
              <w:rPr/>
              <w:t>Final Order, exclusive of appeals.</w:t>
            </w:r>
          </w:p>
        </w:tc>
      </w:tr>
      <w:tr>
        <w:trPr/>
        <w:tc>
          <w:tcPr>
            <w:tcW w:w="2214" w:type="dxa"/>
            <w:tcBorders/>
          </w:tcPr>
          <w:p>
            <w:pPr>
              <w:pStyle w:val="Normal"/>
              <w:snapToGrid w:val="false"/>
              <w:rPr/>
            </w:pPr>
            <w:r>
              <w:rPr/>
            </w:r>
          </w:p>
        </w:tc>
        <w:tc>
          <w:tcPr>
            <w:tcW w:w="2610" w:type="dxa"/>
            <w:tcBorders/>
          </w:tcPr>
          <w:p>
            <w:pPr>
              <w:pStyle w:val="Normal"/>
              <w:snapToGrid w:val="false"/>
              <w:rPr/>
            </w:pPr>
            <w:r>
              <w:rPr/>
            </w:r>
          </w:p>
        </w:tc>
        <w:tc>
          <w:tcPr>
            <w:tcW w:w="4824" w:type="dxa"/>
            <w:tcBorders/>
          </w:tcPr>
          <w:p>
            <w:pPr>
              <w:pStyle w:val="Normal"/>
              <w:snapToGrid w:val="false"/>
              <w:rPr/>
            </w:pPr>
            <w:r>
              <w:rPr/>
            </w:r>
          </w:p>
        </w:tc>
      </w:tr>
      <w:tr>
        <w:trPr/>
        <w:tc>
          <w:tcPr>
            <w:tcW w:w="2214" w:type="dxa"/>
            <w:tcBorders/>
          </w:tcPr>
          <w:p>
            <w:pPr>
              <w:pStyle w:val="Normal"/>
              <w:rPr/>
            </w:pPr>
            <w:r>
              <w:rPr/>
              <w:t>Coconut Creek Lawsuit</w:t>
            </w:r>
          </w:p>
        </w:tc>
        <w:tc>
          <w:tcPr>
            <w:tcW w:w="2610" w:type="dxa"/>
            <w:tcBorders/>
          </w:tcPr>
          <w:p>
            <w:pPr>
              <w:pStyle w:val="Normal"/>
              <w:rPr/>
            </w:pPr>
            <w:r>
              <w:rPr/>
              <w:t xml:space="preserve">November 2001 </w:t>
            </w:r>
          </w:p>
        </w:tc>
        <w:tc>
          <w:tcPr>
            <w:tcW w:w="4824" w:type="dxa"/>
            <w:tcBorders/>
          </w:tcPr>
          <w:p>
            <w:pPr>
              <w:pStyle w:val="Normal"/>
              <w:rPr/>
            </w:pPr>
            <w:r>
              <w:rPr/>
              <w:t xml:space="preserve">Successful dismissal, exclusive of any challenge. </w:t>
            </w:r>
          </w:p>
        </w:tc>
      </w:tr>
      <w:tr>
        <w:trPr/>
        <w:tc>
          <w:tcPr>
            <w:tcW w:w="2214" w:type="dxa"/>
            <w:tcBorders/>
          </w:tcPr>
          <w:p>
            <w:pPr>
              <w:pStyle w:val="Normal"/>
              <w:snapToGrid w:val="false"/>
              <w:rPr/>
            </w:pPr>
            <w:r>
              <w:rPr/>
            </w:r>
          </w:p>
        </w:tc>
        <w:tc>
          <w:tcPr>
            <w:tcW w:w="2610" w:type="dxa"/>
            <w:tcBorders/>
          </w:tcPr>
          <w:p>
            <w:pPr>
              <w:pStyle w:val="Normal"/>
              <w:snapToGrid w:val="false"/>
              <w:rPr/>
            </w:pPr>
            <w:r>
              <w:rPr/>
            </w:r>
          </w:p>
        </w:tc>
        <w:tc>
          <w:tcPr>
            <w:tcW w:w="4824" w:type="dxa"/>
            <w:tcBorders/>
          </w:tcPr>
          <w:p>
            <w:pPr>
              <w:pStyle w:val="Normal"/>
              <w:snapToGrid w:val="false"/>
              <w:rPr/>
            </w:pPr>
            <w:r>
              <w:rPr/>
            </w:r>
          </w:p>
        </w:tc>
      </w:tr>
      <w:tr>
        <w:trPr/>
        <w:tc>
          <w:tcPr>
            <w:tcW w:w="2214" w:type="dxa"/>
            <w:tcBorders/>
          </w:tcPr>
          <w:p>
            <w:pPr>
              <w:pStyle w:val="Normal"/>
              <w:snapToGrid w:val="false"/>
              <w:rPr/>
            </w:pPr>
            <w:r>
              <w:rPr/>
            </w:r>
          </w:p>
        </w:tc>
        <w:tc>
          <w:tcPr>
            <w:tcW w:w="2610" w:type="dxa"/>
            <w:tcBorders/>
          </w:tcPr>
          <w:p>
            <w:pPr>
              <w:pStyle w:val="Normal"/>
              <w:rPr/>
            </w:pPr>
            <w:r>
              <w:rPr/>
              <w:t xml:space="preserve">May 2002 - May 2003 </w:t>
            </w:r>
          </w:p>
        </w:tc>
        <w:tc>
          <w:tcPr>
            <w:tcW w:w="4824" w:type="dxa"/>
            <w:tcBorders/>
          </w:tcPr>
          <w:p>
            <w:pPr>
              <w:pStyle w:val="Normal"/>
              <w:rPr/>
            </w:pPr>
            <w:r>
              <w:rPr/>
              <w:t>Successful resolution of motion to dismiss via appeal, certiorari or mandamus, exclusive of any further challenge.</w:t>
            </w:r>
          </w:p>
        </w:tc>
      </w:tr>
      <w:tr>
        <w:trPr/>
        <w:tc>
          <w:tcPr>
            <w:tcW w:w="2214" w:type="dxa"/>
            <w:tcBorders/>
          </w:tcPr>
          <w:p>
            <w:pPr>
              <w:pStyle w:val="Normal"/>
              <w:snapToGrid w:val="false"/>
              <w:rPr/>
            </w:pPr>
            <w:r>
              <w:rPr/>
            </w:r>
          </w:p>
        </w:tc>
        <w:tc>
          <w:tcPr>
            <w:tcW w:w="2610" w:type="dxa"/>
            <w:tcBorders/>
          </w:tcPr>
          <w:p>
            <w:pPr>
              <w:pStyle w:val="Normal"/>
              <w:snapToGrid w:val="false"/>
              <w:rPr/>
            </w:pPr>
            <w:r>
              <w:rPr/>
            </w:r>
          </w:p>
        </w:tc>
        <w:tc>
          <w:tcPr>
            <w:tcW w:w="4824" w:type="dxa"/>
            <w:tcBorders/>
          </w:tcPr>
          <w:p>
            <w:pPr>
              <w:pStyle w:val="Normal"/>
              <w:snapToGrid w:val="false"/>
              <w:rPr/>
            </w:pPr>
            <w:r>
              <w:rPr/>
            </w:r>
          </w:p>
        </w:tc>
      </w:tr>
      <w:tr>
        <w:trPr/>
        <w:tc>
          <w:tcPr>
            <w:tcW w:w="2214" w:type="dxa"/>
            <w:tcBorders/>
          </w:tcPr>
          <w:p>
            <w:pPr>
              <w:pStyle w:val="Normal"/>
              <w:rPr/>
            </w:pPr>
            <w:r>
              <w:rPr/>
              <w:t>Broward County Moratorium Issues</w:t>
            </w:r>
          </w:p>
        </w:tc>
        <w:tc>
          <w:tcPr>
            <w:tcW w:w="2610" w:type="dxa"/>
            <w:tcBorders/>
          </w:tcPr>
          <w:p>
            <w:pPr>
              <w:pStyle w:val="Normal"/>
              <w:rPr/>
            </w:pPr>
            <w:r>
              <w:rPr/>
              <w:t xml:space="preserve">Mid February 2001 – Mid March 2001 </w:t>
            </w:r>
          </w:p>
        </w:tc>
        <w:tc>
          <w:tcPr>
            <w:tcW w:w="4824" w:type="dxa"/>
            <w:tcBorders/>
          </w:tcPr>
          <w:p>
            <w:pPr>
              <w:pStyle w:val="Normal"/>
              <w:rPr/>
            </w:pPr>
            <w:r>
              <w:rPr/>
              <w:t>Declaratory Statement issuance, exclusive of appeals or other challenges, administrative or judicial.</w:t>
            </w:r>
          </w:p>
        </w:tc>
      </w:tr>
    </w:tbl>
    <w:p>
      <w:pPr>
        <w:pStyle w:val="Heading"/>
        <w:rPr/>
      </w:pPr>
      <w:r>
        <w:rPr/>
      </w:r>
    </w:p>
    <w:p>
      <w:pPr>
        <w:pStyle w:val="Heading"/>
        <w:rPr/>
      </w:pPr>
      <w:r>
        <w:rPr/>
      </w:r>
    </w:p>
    <w:p>
      <w:pPr>
        <w:pStyle w:val="Heading"/>
        <w:rPr/>
      </w:pPr>
      <w:r>
        <w:rPr/>
      </w:r>
    </w:p>
    <w:p>
      <w:pPr>
        <w:pStyle w:val="Heading"/>
        <w:jc w:val="start"/>
        <w:rPr/>
      </w:pPr>
      <w:r>
        <w:rPr/>
        <w:t>II.</w:t>
        <w:tab/>
        <w:t>LEGAL FEES</w:t>
      </w:r>
    </w:p>
    <w:p>
      <w:pPr>
        <w:pStyle w:val="Para"/>
        <w:rPr/>
      </w:pPr>
      <w:r>
        <w:rPr/>
        <w:t>At your request, we have provided an estimate of the legal fees for obtaining the remaining developmental approvals or resolving the outstanding obstacles to obtaining such approvals.  Again, we have attempted to provide you with a reasonably accurate projection of the range of fees involved, notwithstanding the fact that the two pending litigation matters are just underway.</w:t>
      </w:r>
    </w:p>
    <w:p>
      <w:pPr>
        <w:pStyle w:val="Normal"/>
        <w:tabs>
          <w:tab w:val="clear" w:pos="720"/>
          <w:tab w:val="left" w:pos="4824" w:leader="none"/>
          <w:tab w:val="left" w:pos="9648" w:leader="none"/>
        </w:tabs>
        <w:rPr/>
      </w:pPr>
      <w:r>
        <w:rPr/>
        <w:tab/>
      </w:r>
    </w:p>
    <w:tbl>
      <w:tblPr>
        <w:tblW w:w="9648" w:type="dxa"/>
        <w:jc w:val="start"/>
        <w:tblInd w:w="0" w:type="dxa"/>
        <w:tblLayout w:type="fixed"/>
        <w:tblCellMar>
          <w:top w:w="0" w:type="dxa"/>
          <w:start w:w="108" w:type="dxa"/>
          <w:bottom w:w="0" w:type="dxa"/>
          <w:end w:w="108" w:type="dxa"/>
        </w:tblCellMar>
      </w:tblPr>
      <w:tblGrid>
        <w:gridCol w:w="828"/>
        <w:gridCol w:w="2520"/>
        <w:gridCol w:w="6300"/>
      </w:tblGrid>
      <w:tr>
        <w:trPr/>
        <w:tc>
          <w:tcPr>
            <w:tcW w:w="9648" w:type="dxa"/>
            <w:gridSpan w:val="3"/>
            <w:tcBorders/>
          </w:tcPr>
          <w:p>
            <w:pPr>
              <w:pStyle w:val="Normal"/>
              <w:spacing w:before="240" w:after="240"/>
              <w:rPr>
                <w:b/>
                <w:bCs/>
              </w:rPr>
            </w:pPr>
            <w:r>
              <w:rPr>
                <w:b/>
                <w:bCs/>
              </w:rPr>
              <w:t>A.</w:t>
              <w:tab/>
            </w:r>
            <w:r>
              <w:rPr>
                <w:b/>
                <w:bCs/>
                <w:u w:val="single"/>
              </w:rPr>
              <w:t>Zoning and Annexation</w:t>
            </w:r>
          </w:p>
        </w:tc>
      </w:tr>
      <w:tr>
        <w:trPr/>
        <w:tc>
          <w:tcPr>
            <w:tcW w:w="9648" w:type="dxa"/>
            <w:gridSpan w:val="3"/>
            <w:tcBorders/>
          </w:tcPr>
          <w:p>
            <w:pPr>
              <w:pStyle w:val="Normal"/>
              <w:snapToGrid w:val="false"/>
              <w:rPr>
                <w:b/>
                <w:bCs/>
              </w:rPr>
            </w:pPr>
            <w:r>
              <w:rPr>
                <w:b/>
                <w:bCs/>
              </w:rPr>
            </w:r>
          </w:p>
        </w:tc>
      </w:tr>
      <w:tr>
        <w:trPr/>
        <w:tc>
          <w:tcPr>
            <w:tcW w:w="828" w:type="dxa"/>
            <w:tcBorders/>
          </w:tcPr>
          <w:p>
            <w:pPr>
              <w:pStyle w:val="Normal"/>
              <w:snapToGrid w:val="false"/>
              <w:rPr/>
            </w:pPr>
            <w:r>
              <w:rPr/>
            </w:r>
          </w:p>
        </w:tc>
        <w:tc>
          <w:tcPr>
            <w:tcW w:w="2520" w:type="dxa"/>
            <w:tcBorders/>
          </w:tcPr>
          <w:p>
            <w:pPr>
              <w:pStyle w:val="Normal"/>
              <w:rPr/>
            </w:pPr>
            <w:r>
              <w:rPr>
                <w:b/>
                <w:bCs/>
                <w:u w:val="single"/>
              </w:rPr>
              <w:t>Best Case</w:t>
            </w:r>
            <w:r>
              <w:rPr/>
              <w:t xml:space="preserve">: </w:t>
            </w:r>
          </w:p>
        </w:tc>
        <w:tc>
          <w:tcPr>
            <w:tcW w:w="6300" w:type="dxa"/>
            <w:tcBorders/>
          </w:tcPr>
          <w:p>
            <w:pPr>
              <w:pStyle w:val="Normal"/>
              <w:rPr/>
            </w:pPr>
            <w:r>
              <w:rPr/>
              <w:t>$60,000 (exclusive of any appeal, Section 163.3215 claim, or other challenge), and</w:t>
            </w:r>
          </w:p>
        </w:tc>
      </w:tr>
      <w:tr>
        <w:trPr/>
        <w:tc>
          <w:tcPr>
            <w:tcW w:w="9648" w:type="dxa"/>
            <w:gridSpan w:val="3"/>
            <w:tcBorders/>
          </w:tcPr>
          <w:p>
            <w:pPr>
              <w:pStyle w:val="Normal"/>
              <w:snapToGrid w:val="false"/>
              <w:jc w:val="both"/>
              <w:rPr/>
            </w:pPr>
            <w:r>
              <w:rPr/>
            </w:r>
          </w:p>
        </w:tc>
      </w:tr>
      <w:tr>
        <w:trPr/>
        <w:tc>
          <w:tcPr>
            <w:tcW w:w="828" w:type="dxa"/>
            <w:tcBorders/>
          </w:tcPr>
          <w:p>
            <w:pPr>
              <w:pStyle w:val="Normal"/>
              <w:snapToGrid w:val="false"/>
              <w:rPr/>
            </w:pPr>
            <w:r>
              <w:rPr/>
            </w:r>
          </w:p>
        </w:tc>
        <w:tc>
          <w:tcPr>
            <w:tcW w:w="2520" w:type="dxa"/>
            <w:tcBorders/>
          </w:tcPr>
          <w:p>
            <w:pPr>
              <w:pStyle w:val="Normal"/>
              <w:rPr/>
            </w:pPr>
            <w:r>
              <w:rPr>
                <w:b/>
                <w:bCs/>
                <w:u w:val="single"/>
              </w:rPr>
              <w:t>Worst Case</w:t>
            </w:r>
            <w:r>
              <w:rPr/>
              <w:t xml:space="preserve">: </w:t>
            </w:r>
          </w:p>
        </w:tc>
        <w:tc>
          <w:tcPr>
            <w:tcW w:w="6300" w:type="dxa"/>
            <w:tcBorders/>
          </w:tcPr>
          <w:p>
            <w:pPr>
              <w:pStyle w:val="Normal"/>
              <w:jc w:val="both"/>
              <w:rPr/>
            </w:pPr>
            <w:r>
              <w:rPr/>
              <w:t>$85,000 (exclusive of any appeal, Section 163.3215 claim, or other challenge).</w:t>
            </w:r>
          </w:p>
        </w:tc>
      </w:tr>
    </w:tbl>
    <w:p>
      <w:pPr>
        <w:pStyle w:val="Normal"/>
        <w:tabs>
          <w:tab w:val="clear" w:pos="720"/>
          <w:tab w:val="left" w:pos="5328" w:leader="none"/>
          <w:tab w:val="left" w:pos="9648" w:leader="none"/>
        </w:tabs>
        <w:rPr/>
      </w:pPr>
      <w:r>
        <w:rPr/>
      </w:r>
    </w:p>
    <w:p>
      <w:pPr>
        <w:pStyle w:val="Para"/>
        <w:rPr/>
      </w:pPr>
      <w:r>
        <w:rPr/>
        <w:t>The majority of the work necessary to obtain final site plan approval by December 15, 2001, is primarily technical and the legal fees attributable to that effort are expected to be nominal.  Obtaining a building permit; however, will require a significant amount of work, which will not commence in full until we receive some level of comfort on the issuance of the air permit and favorable resolution of the Coconut Creek litigation.</w:t>
      </w:r>
    </w:p>
    <w:p>
      <w:pPr>
        <w:pStyle w:val="Normal"/>
        <w:tabs>
          <w:tab w:val="clear" w:pos="720"/>
          <w:tab w:val="left" w:pos="5328" w:leader="none"/>
          <w:tab w:val="left" w:pos="9648" w:leader="none"/>
        </w:tabs>
        <w:rPr/>
      </w:pPr>
      <w:r>
        <w:rPr/>
      </w:r>
    </w:p>
    <w:tbl>
      <w:tblPr>
        <w:tblW w:w="9648" w:type="dxa"/>
        <w:jc w:val="start"/>
        <w:tblInd w:w="0" w:type="dxa"/>
        <w:tblLayout w:type="fixed"/>
        <w:tblCellMar>
          <w:top w:w="0" w:type="dxa"/>
          <w:start w:w="108" w:type="dxa"/>
          <w:bottom w:w="0" w:type="dxa"/>
          <w:end w:w="108" w:type="dxa"/>
        </w:tblCellMar>
      </w:tblPr>
      <w:tblGrid>
        <w:gridCol w:w="828"/>
        <w:gridCol w:w="2520"/>
        <w:gridCol w:w="6300"/>
      </w:tblGrid>
      <w:tr>
        <w:trPr/>
        <w:tc>
          <w:tcPr>
            <w:tcW w:w="9648" w:type="dxa"/>
            <w:gridSpan w:val="3"/>
            <w:tcBorders/>
          </w:tcPr>
          <w:p>
            <w:pPr>
              <w:pStyle w:val="Normal"/>
              <w:spacing w:before="240" w:after="240"/>
              <w:rPr>
                <w:b/>
                <w:bCs/>
              </w:rPr>
            </w:pPr>
            <w:r>
              <w:rPr>
                <w:b/>
                <w:bCs/>
              </w:rPr>
              <w:t>B.</w:t>
              <w:tab/>
            </w:r>
            <w:r>
              <w:rPr>
                <w:b/>
                <w:bCs/>
                <w:u w:val="single"/>
              </w:rPr>
              <w:t>Air Permit Challenge</w:t>
            </w:r>
          </w:p>
        </w:tc>
      </w:tr>
      <w:tr>
        <w:trPr/>
        <w:tc>
          <w:tcPr>
            <w:tcW w:w="828" w:type="dxa"/>
            <w:tcBorders/>
          </w:tcPr>
          <w:p>
            <w:pPr>
              <w:pStyle w:val="Normal"/>
              <w:snapToGrid w:val="false"/>
              <w:rPr>
                <w:b/>
                <w:bCs/>
              </w:rPr>
            </w:pPr>
            <w:r>
              <w:rPr>
                <w:b/>
                <w:bCs/>
              </w:rPr>
            </w:r>
          </w:p>
        </w:tc>
        <w:tc>
          <w:tcPr>
            <w:tcW w:w="2520" w:type="dxa"/>
            <w:tcBorders/>
          </w:tcPr>
          <w:p>
            <w:pPr>
              <w:pStyle w:val="Normal"/>
              <w:rPr/>
            </w:pPr>
            <w:r>
              <w:rPr>
                <w:b/>
                <w:bCs/>
                <w:u w:val="single"/>
              </w:rPr>
              <w:t>Best Case</w:t>
            </w:r>
            <w:r>
              <w:rPr/>
              <w:t xml:space="preserve">: </w:t>
            </w:r>
          </w:p>
        </w:tc>
        <w:tc>
          <w:tcPr>
            <w:tcW w:w="6300" w:type="dxa"/>
            <w:tcBorders/>
          </w:tcPr>
          <w:p>
            <w:pPr>
              <w:pStyle w:val="Normal"/>
              <w:rPr/>
            </w:pPr>
            <w:r>
              <w:rPr/>
              <w:t>$150,000 (excluding appeal);</w:t>
            </w:r>
          </w:p>
        </w:tc>
      </w:tr>
      <w:tr>
        <w:trPr/>
        <w:tc>
          <w:tcPr>
            <w:tcW w:w="9648" w:type="dxa"/>
            <w:gridSpan w:val="3"/>
            <w:tcBorders/>
          </w:tcPr>
          <w:p>
            <w:pPr>
              <w:pStyle w:val="Normal"/>
              <w:snapToGrid w:val="false"/>
              <w:rPr/>
            </w:pPr>
            <w:r>
              <w:rPr/>
            </w:r>
          </w:p>
        </w:tc>
      </w:tr>
      <w:tr>
        <w:trPr/>
        <w:tc>
          <w:tcPr>
            <w:tcW w:w="828" w:type="dxa"/>
            <w:tcBorders/>
          </w:tcPr>
          <w:p>
            <w:pPr>
              <w:pStyle w:val="Normal"/>
              <w:snapToGrid w:val="false"/>
              <w:rPr/>
            </w:pPr>
            <w:r>
              <w:rPr/>
            </w:r>
          </w:p>
        </w:tc>
        <w:tc>
          <w:tcPr>
            <w:tcW w:w="2520" w:type="dxa"/>
            <w:tcBorders/>
          </w:tcPr>
          <w:p>
            <w:pPr>
              <w:pStyle w:val="Normal"/>
              <w:rPr/>
            </w:pPr>
            <w:r>
              <w:rPr>
                <w:b/>
                <w:bCs/>
                <w:u w:val="single"/>
              </w:rPr>
              <w:t>Worst Case</w:t>
            </w:r>
            <w:r>
              <w:rPr/>
              <w:t xml:space="preserve">:  </w:t>
            </w:r>
          </w:p>
        </w:tc>
        <w:tc>
          <w:tcPr>
            <w:tcW w:w="6300" w:type="dxa"/>
            <w:tcBorders/>
          </w:tcPr>
          <w:p>
            <w:pPr>
              <w:pStyle w:val="Normal"/>
              <w:rPr/>
            </w:pPr>
            <w:r>
              <w:rPr/>
              <w:t>$500,000 (excluding appeal); and</w:t>
            </w:r>
          </w:p>
        </w:tc>
      </w:tr>
      <w:tr>
        <w:trPr/>
        <w:tc>
          <w:tcPr>
            <w:tcW w:w="9648" w:type="dxa"/>
            <w:gridSpan w:val="3"/>
            <w:tcBorders/>
          </w:tcPr>
          <w:p>
            <w:pPr>
              <w:pStyle w:val="Normal"/>
              <w:snapToGrid w:val="false"/>
              <w:rPr/>
            </w:pPr>
            <w:r>
              <w:rPr/>
            </w:r>
          </w:p>
        </w:tc>
      </w:tr>
      <w:tr>
        <w:trPr/>
        <w:tc>
          <w:tcPr>
            <w:tcW w:w="828" w:type="dxa"/>
            <w:tcBorders/>
          </w:tcPr>
          <w:p>
            <w:pPr>
              <w:pStyle w:val="Normal"/>
              <w:snapToGrid w:val="false"/>
              <w:rPr/>
            </w:pPr>
            <w:r>
              <w:rPr/>
            </w:r>
          </w:p>
        </w:tc>
        <w:tc>
          <w:tcPr>
            <w:tcW w:w="2520" w:type="dxa"/>
            <w:tcBorders/>
          </w:tcPr>
          <w:p>
            <w:pPr>
              <w:pStyle w:val="Normal"/>
              <w:tabs>
                <w:tab w:val="clear" w:pos="720"/>
                <w:tab w:val="left" w:pos="1386" w:leader="none"/>
              </w:tabs>
              <w:rPr/>
            </w:pPr>
            <w:r>
              <w:rPr>
                <w:b/>
                <w:bCs/>
                <w:u w:val="single"/>
              </w:rPr>
              <w:t>If Appellate Review is sought</w:t>
            </w:r>
            <w:r>
              <w:rPr/>
              <w:t xml:space="preserve">:  </w:t>
            </w:r>
          </w:p>
        </w:tc>
        <w:tc>
          <w:tcPr>
            <w:tcW w:w="6300" w:type="dxa"/>
            <w:tcBorders/>
          </w:tcPr>
          <w:p>
            <w:pPr>
              <w:pStyle w:val="Normal"/>
              <w:rPr/>
            </w:pPr>
            <w:r>
              <w:rPr/>
              <w:t>Add $35,000 to $60,000.</w:t>
            </w:r>
          </w:p>
        </w:tc>
      </w:tr>
    </w:tbl>
    <w:p>
      <w:pPr>
        <w:pStyle w:val="Para"/>
        <w:rPr/>
      </w:pPr>
      <w:r>
        <w:rPr/>
      </w:r>
    </w:p>
    <w:p>
      <w:pPr>
        <w:pStyle w:val="Para"/>
        <w:rPr/>
      </w:pPr>
      <w:r>
        <w:rPr/>
        <w:t>As you are aware, administrative litigation may prove complex or relatively simple, depending upon the level of opposition by the petitioners and the level of support by the Department of Environmental Protection.  The wide range of best to worst cost estimates provided above, reflects the uncertainty inherent at this early stage of the administrative hearing.  Please note that, in our letter dated August 14, 2001, we estimated that the legal fees for a hearing with an average level of opposition would be $200,000.</w:t>
        <w:tab/>
      </w:r>
      <w:r>
        <w:br w:type="page"/>
      </w:r>
    </w:p>
    <w:p>
      <w:pPr>
        <w:pStyle w:val="Normal"/>
        <w:tabs>
          <w:tab w:val="clear" w:pos="720"/>
          <w:tab w:val="left" w:pos="4824" w:leader="none"/>
          <w:tab w:val="left" w:pos="9648" w:leader="none"/>
        </w:tabs>
        <w:rPr/>
      </w:pPr>
      <w:r>
        <w:rPr/>
      </w:r>
    </w:p>
    <w:tbl>
      <w:tblPr>
        <w:tblW w:w="9648" w:type="dxa"/>
        <w:jc w:val="start"/>
        <w:tblInd w:w="0" w:type="dxa"/>
        <w:tblLayout w:type="fixed"/>
        <w:tblCellMar>
          <w:top w:w="0" w:type="dxa"/>
          <w:start w:w="108" w:type="dxa"/>
          <w:bottom w:w="0" w:type="dxa"/>
          <w:end w:w="108" w:type="dxa"/>
        </w:tblCellMar>
      </w:tblPr>
      <w:tblGrid>
        <w:gridCol w:w="828"/>
        <w:gridCol w:w="1080"/>
        <w:gridCol w:w="360"/>
        <w:gridCol w:w="2700"/>
        <w:gridCol w:w="4680"/>
      </w:tblGrid>
      <w:tr>
        <w:trPr/>
        <w:tc>
          <w:tcPr>
            <w:tcW w:w="9648" w:type="dxa"/>
            <w:gridSpan w:val="5"/>
            <w:tcBorders/>
          </w:tcPr>
          <w:p>
            <w:pPr>
              <w:pStyle w:val="Normal"/>
              <w:spacing w:before="240" w:after="240"/>
              <w:rPr>
                <w:b/>
                <w:bCs/>
              </w:rPr>
            </w:pPr>
            <w:r>
              <w:rPr>
                <w:b/>
                <w:bCs/>
              </w:rPr>
              <w:t>C.</w:t>
              <w:tab/>
            </w:r>
            <w:r>
              <w:rPr>
                <w:b/>
                <w:bCs/>
                <w:u w:val="single"/>
              </w:rPr>
              <w:t>Coconut Creek Lawsuit</w:t>
            </w:r>
          </w:p>
        </w:tc>
      </w:tr>
      <w:tr>
        <w:trPr/>
        <w:tc>
          <w:tcPr>
            <w:tcW w:w="828" w:type="dxa"/>
            <w:tcBorders/>
          </w:tcPr>
          <w:p>
            <w:pPr>
              <w:pStyle w:val="Normal"/>
              <w:snapToGrid w:val="false"/>
              <w:rPr>
                <w:b/>
                <w:bCs/>
              </w:rPr>
            </w:pPr>
            <w:r>
              <w:rPr>
                <w:b/>
                <w:bCs/>
              </w:rPr>
            </w:r>
          </w:p>
        </w:tc>
        <w:tc>
          <w:tcPr>
            <w:tcW w:w="1440" w:type="dxa"/>
            <w:gridSpan w:val="2"/>
            <w:tcBorders/>
          </w:tcPr>
          <w:p>
            <w:pPr>
              <w:pStyle w:val="Normal"/>
              <w:rPr/>
            </w:pPr>
            <w:r>
              <w:rPr>
                <w:b/>
                <w:bCs/>
                <w:u w:val="single"/>
              </w:rPr>
              <w:t>Best Case</w:t>
            </w:r>
            <w:r>
              <w:rPr>
                <w:b/>
                <w:bCs/>
              </w:rPr>
              <w:t>:</w:t>
            </w:r>
            <w:r>
              <w:rPr/>
              <w:t xml:space="preserve">  </w:t>
            </w:r>
          </w:p>
        </w:tc>
        <w:tc>
          <w:tcPr>
            <w:tcW w:w="2700" w:type="dxa"/>
            <w:tcBorders/>
          </w:tcPr>
          <w:p>
            <w:pPr>
              <w:pStyle w:val="Normal"/>
              <w:rPr/>
            </w:pPr>
            <w:r>
              <w:rPr/>
              <w:t xml:space="preserve">$12,000 - $15,000 </w:t>
            </w:r>
          </w:p>
        </w:tc>
        <w:tc>
          <w:tcPr>
            <w:tcW w:w="4680" w:type="dxa"/>
            <w:tcBorders/>
          </w:tcPr>
          <w:p>
            <w:pPr>
              <w:pStyle w:val="Normal"/>
              <w:rPr/>
            </w:pPr>
            <w:r>
              <w:rPr/>
              <w:t>Granting of Motions to Dismiss</w:t>
            </w:r>
          </w:p>
        </w:tc>
      </w:tr>
      <w:tr>
        <w:trPr/>
        <w:tc>
          <w:tcPr>
            <w:tcW w:w="828" w:type="dxa"/>
            <w:tcBorders/>
          </w:tcPr>
          <w:p>
            <w:pPr>
              <w:pStyle w:val="Normal"/>
              <w:snapToGrid w:val="false"/>
              <w:rPr>
                <w:b/>
                <w:bCs/>
                <w:u w:val="single"/>
              </w:rPr>
            </w:pPr>
            <w:r>
              <w:rPr>
                <w:b/>
                <w:bCs/>
                <w:u w:val="single"/>
              </w:rPr>
            </w:r>
          </w:p>
        </w:tc>
        <w:tc>
          <w:tcPr>
            <w:tcW w:w="4140" w:type="dxa"/>
            <w:gridSpan w:val="3"/>
            <w:tcBorders/>
          </w:tcPr>
          <w:p>
            <w:pPr>
              <w:pStyle w:val="Normal"/>
              <w:snapToGrid w:val="false"/>
              <w:rPr>
                <w:b/>
                <w:bCs/>
                <w:u w:val="single"/>
              </w:rPr>
            </w:pPr>
            <w:r>
              <w:rPr>
                <w:b/>
                <w:bCs/>
                <w:u w:val="single"/>
              </w:rPr>
            </w:r>
          </w:p>
        </w:tc>
        <w:tc>
          <w:tcPr>
            <w:tcW w:w="4680" w:type="dxa"/>
            <w:tcBorders/>
          </w:tcPr>
          <w:p>
            <w:pPr>
              <w:pStyle w:val="Normal"/>
              <w:snapToGrid w:val="false"/>
              <w:rPr>
                <w:b/>
                <w:bCs/>
                <w:u w:val="single"/>
              </w:rPr>
            </w:pPr>
            <w:r>
              <w:rPr>
                <w:b/>
                <w:bCs/>
                <w:u w:val="single"/>
              </w:rPr>
            </w:r>
          </w:p>
        </w:tc>
      </w:tr>
      <w:tr>
        <w:trPr/>
        <w:tc>
          <w:tcPr>
            <w:tcW w:w="828" w:type="dxa"/>
            <w:tcBorders/>
          </w:tcPr>
          <w:p>
            <w:pPr>
              <w:pStyle w:val="Normal"/>
              <w:snapToGrid w:val="false"/>
              <w:rPr>
                <w:b/>
                <w:bCs/>
                <w:u w:val="single"/>
              </w:rPr>
            </w:pPr>
            <w:r>
              <w:rPr>
                <w:b/>
                <w:bCs/>
                <w:u w:val="single"/>
              </w:rPr>
            </w:r>
          </w:p>
        </w:tc>
        <w:tc>
          <w:tcPr>
            <w:tcW w:w="4140" w:type="dxa"/>
            <w:gridSpan w:val="3"/>
            <w:tcBorders/>
          </w:tcPr>
          <w:p>
            <w:pPr>
              <w:pStyle w:val="Normal"/>
              <w:rPr>
                <w:b/>
                <w:bCs/>
                <w:u w:val="single"/>
              </w:rPr>
            </w:pPr>
            <w:r>
              <w:rPr>
                <w:b/>
                <w:bCs/>
                <w:u w:val="single"/>
              </w:rPr>
              <w:t>With the following challenges:</w:t>
            </w:r>
          </w:p>
        </w:tc>
        <w:tc>
          <w:tcPr>
            <w:tcW w:w="4680" w:type="dxa"/>
            <w:tcBorders/>
          </w:tcPr>
          <w:p>
            <w:pPr>
              <w:pStyle w:val="Normal"/>
              <w:snapToGrid w:val="false"/>
              <w:rPr>
                <w:b/>
                <w:bCs/>
                <w:u w:val="single"/>
              </w:rPr>
            </w:pPr>
            <w:r>
              <w:rPr>
                <w:b/>
                <w:bCs/>
                <w:u w:val="single"/>
              </w:rPr>
            </w:r>
          </w:p>
        </w:tc>
      </w:tr>
      <w:tr>
        <w:trPr/>
        <w:tc>
          <w:tcPr>
            <w:tcW w:w="828" w:type="dxa"/>
            <w:tcBorders/>
          </w:tcPr>
          <w:p>
            <w:pPr>
              <w:pStyle w:val="Normal"/>
              <w:snapToGrid w:val="false"/>
              <w:rPr/>
            </w:pPr>
            <w:r>
              <w:rPr/>
            </w:r>
          </w:p>
        </w:tc>
        <w:tc>
          <w:tcPr>
            <w:tcW w:w="4140" w:type="dxa"/>
            <w:gridSpan w:val="3"/>
            <w:tcBorders/>
          </w:tcPr>
          <w:p>
            <w:pPr>
              <w:pStyle w:val="Normal"/>
              <w:snapToGrid w:val="false"/>
              <w:rPr/>
            </w:pPr>
            <w:r>
              <w:rPr/>
            </w:r>
          </w:p>
        </w:tc>
        <w:tc>
          <w:tcPr>
            <w:tcW w:w="4680" w:type="dxa"/>
            <w:tcBorders/>
          </w:tcPr>
          <w:p>
            <w:pPr>
              <w:pStyle w:val="Normal"/>
              <w:snapToGrid w:val="false"/>
              <w:rPr>
                <w:u w:val="single"/>
              </w:rPr>
            </w:pPr>
            <w:r>
              <w:rPr>
                <w:u w:val="single"/>
              </w:rPr>
            </w:r>
          </w:p>
        </w:tc>
      </w:tr>
      <w:tr>
        <w:trPr/>
        <w:tc>
          <w:tcPr>
            <w:tcW w:w="1908" w:type="dxa"/>
            <w:gridSpan w:val="2"/>
            <w:tcBorders/>
          </w:tcPr>
          <w:p>
            <w:pPr>
              <w:pStyle w:val="Normal"/>
              <w:snapToGrid w:val="false"/>
              <w:rPr>
                <w:u w:val="single"/>
              </w:rPr>
            </w:pPr>
            <w:r>
              <w:rPr>
                <w:u w:val="single"/>
              </w:rPr>
            </w:r>
          </w:p>
        </w:tc>
        <w:tc>
          <w:tcPr>
            <w:tcW w:w="3060" w:type="dxa"/>
            <w:gridSpan w:val="2"/>
            <w:tcBorders/>
          </w:tcPr>
          <w:p>
            <w:pPr>
              <w:pStyle w:val="Normal"/>
              <w:rPr/>
            </w:pPr>
            <w:r>
              <w:rPr>
                <w:b/>
                <w:bCs/>
                <w:u w:val="single"/>
              </w:rPr>
              <w:t>Defense of Appeal</w:t>
            </w:r>
            <w:r>
              <w:rPr>
                <w:b/>
                <w:bCs/>
              </w:rPr>
              <w:t xml:space="preserve">:  </w:t>
            </w:r>
          </w:p>
        </w:tc>
        <w:tc>
          <w:tcPr>
            <w:tcW w:w="4680" w:type="dxa"/>
            <w:tcBorders/>
          </w:tcPr>
          <w:p>
            <w:pPr>
              <w:pStyle w:val="Normal"/>
              <w:rPr/>
            </w:pPr>
            <w:r>
              <w:rPr/>
              <w:t>Add $30,000 - $50,000</w:t>
            </w:r>
          </w:p>
        </w:tc>
      </w:tr>
      <w:tr>
        <w:trPr/>
        <w:tc>
          <w:tcPr>
            <w:tcW w:w="1908" w:type="dxa"/>
            <w:gridSpan w:val="2"/>
            <w:tcBorders/>
          </w:tcPr>
          <w:p>
            <w:pPr>
              <w:pStyle w:val="Normal"/>
              <w:snapToGrid w:val="false"/>
              <w:rPr>
                <w:b/>
                <w:bCs/>
                <w:u w:val="single"/>
              </w:rPr>
            </w:pPr>
            <w:r>
              <w:rPr>
                <w:b/>
                <w:bCs/>
                <w:u w:val="single"/>
              </w:rPr>
            </w:r>
          </w:p>
        </w:tc>
        <w:tc>
          <w:tcPr>
            <w:tcW w:w="3060" w:type="dxa"/>
            <w:gridSpan w:val="2"/>
            <w:tcBorders/>
          </w:tcPr>
          <w:p>
            <w:pPr>
              <w:pStyle w:val="Normal"/>
              <w:snapToGrid w:val="false"/>
              <w:rPr>
                <w:b/>
                <w:bCs/>
                <w:u w:val="single"/>
              </w:rPr>
            </w:pPr>
            <w:r>
              <w:rPr>
                <w:b/>
                <w:bCs/>
                <w:u w:val="single"/>
              </w:rPr>
            </w:r>
          </w:p>
        </w:tc>
        <w:tc>
          <w:tcPr>
            <w:tcW w:w="4680" w:type="dxa"/>
            <w:tcBorders/>
          </w:tcPr>
          <w:p>
            <w:pPr>
              <w:pStyle w:val="Normal"/>
              <w:snapToGrid w:val="false"/>
              <w:rPr>
                <w:b/>
                <w:bCs/>
              </w:rPr>
            </w:pPr>
            <w:r>
              <w:rPr>
                <w:b/>
                <w:bCs/>
              </w:rPr>
            </w:r>
          </w:p>
        </w:tc>
      </w:tr>
      <w:tr>
        <w:trPr/>
        <w:tc>
          <w:tcPr>
            <w:tcW w:w="1908" w:type="dxa"/>
            <w:gridSpan w:val="2"/>
            <w:tcBorders/>
          </w:tcPr>
          <w:p>
            <w:pPr>
              <w:pStyle w:val="Normal"/>
              <w:snapToGrid w:val="false"/>
              <w:rPr>
                <w:b/>
                <w:bCs/>
                <w:u w:val="single"/>
              </w:rPr>
            </w:pPr>
            <w:r>
              <w:rPr>
                <w:b/>
                <w:bCs/>
                <w:u w:val="single"/>
              </w:rPr>
            </w:r>
          </w:p>
        </w:tc>
        <w:tc>
          <w:tcPr>
            <w:tcW w:w="3060" w:type="dxa"/>
            <w:gridSpan w:val="2"/>
            <w:tcBorders/>
          </w:tcPr>
          <w:p>
            <w:pPr>
              <w:pStyle w:val="Normal"/>
              <w:rPr/>
            </w:pPr>
            <w:r>
              <w:rPr>
                <w:b/>
                <w:bCs/>
                <w:u w:val="single"/>
              </w:rPr>
              <w:t>Defense of Certiorari Petition</w:t>
            </w:r>
            <w:r>
              <w:rPr>
                <w:b/>
                <w:bCs/>
              </w:rPr>
              <w:t xml:space="preserve">:  </w:t>
            </w:r>
          </w:p>
        </w:tc>
        <w:tc>
          <w:tcPr>
            <w:tcW w:w="4680" w:type="dxa"/>
            <w:tcBorders/>
          </w:tcPr>
          <w:p>
            <w:pPr>
              <w:pStyle w:val="Normal"/>
              <w:rPr/>
            </w:pPr>
            <w:r>
              <w:rPr/>
              <w:t>Add $40,000 - $60,000.</w:t>
            </w:r>
          </w:p>
        </w:tc>
      </w:tr>
      <w:tr>
        <w:trPr/>
        <w:tc>
          <w:tcPr>
            <w:tcW w:w="1908" w:type="dxa"/>
            <w:gridSpan w:val="2"/>
            <w:tcBorders/>
          </w:tcPr>
          <w:p>
            <w:pPr>
              <w:pStyle w:val="Normal"/>
              <w:snapToGrid w:val="false"/>
              <w:rPr/>
            </w:pPr>
            <w:r>
              <w:rPr/>
            </w:r>
          </w:p>
        </w:tc>
        <w:tc>
          <w:tcPr>
            <w:tcW w:w="3060" w:type="dxa"/>
            <w:gridSpan w:val="2"/>
            <w:tcBorders/>
          </w:tcPr>
          <w:p>
            <w:pPr>
              <w:pStyle w:val="Normal"/>
              <w:snapToGrid w:val="false"/>
              <w:rPr>
                <w:b/>
                <w:bCs/>
              </w:rPr>
            </w:pPr>
            <w:r>
              <w:rPr>
                <w:b/>
                <w:bCs/>
              </w:rPr>
            </w:r>
          </w:p>
        </w:tc>
        <w:tc>
          <w:tcPr>
            <w:tcW w:w="4680" w:type="dxa"/>
            <w:tcBorders/>
          </w:tcPr>
          <w:p>
            <w:pPr>
              <w:pStyle w:val="Normal"/>
              <w:snapToGrid w:val="false"/>
              <w:rPr>
                <w:b/>
                <w:bCs/>
              </w:rPr>
            </w:pPr>
            <w:r>
              <w:rPr>
                <w:b/>
                <w:bCs/>
              </w:rPr>
            </w:r>
          </w:p>
        </w:tc>
      </w:tr>
      <w:tr>
        <w:trPr/>
        <w:tc>
          <w:tcPr>
            <w:tcW w:w="1908" w:type="dxa"/>
            <w:gridSpan w:val="2"/>
            <w:tcBorders/>
          </w:tcPr>
          <w:p>
            <w:pPr>
              <w:pStyle w:val="Normal"/>
              <w:snapToGrid w:val="false"/>
              <w:rPr/>
            </w:pPr>
            <w:r>
              <w:rPr/>
            </w:r>
          </w:p>
        </w:tc>
        <w:tc>
          <w:tcPr>
            <w:tcW w:w="3060" w:type="dxa"/>
            <w:gridSpan w:val="2"/>
            <w:tcBorders/>
          </w:tcPr>
          <w:p>
            <w:pPr>
              <w:pStyle w:val="Normal"/>
              <w:rPr/>
            </w:pPr>
            <w:r>
              <w:rPr>
                <w:b/>
                <w:bCs/>
                <w:u w:val="single"/>
              </w:rPr>
              <w:t>Certiorari Petition or Petition by Writ of Mandamus</w:t>
            </w:r>
            <w:r>
              <w:rPr>
                <w:b/>
                <w:bCs/>
              </w:rPr>
              <w:t xml:space="preserve">:  </w:t>
            </w:r>
          </w:p>
        </w:tc>
        <w:tc>
          <w:tcPr>
            <w:tcW w:w="4680" w:type="dxa"/>
            <w:tcBorders/>
          </w:tcPr>
          <w:p>
            <w:pPr>
              <w:pStyle w:val="Normal"/>
              <w:rPr/>
            </w:pPr>
            <w:r>
              <w:rPr/>
              <w:t>Add $40,000 - $60,000</w:t>
            </w:r>
          </w:p>
        </w:tc>
      </w:tr>
      <w:tr>
        <w:trPr/>
        <w:tc>
          <w:tcPr>
            <w:tcW w:w="828" w:type="dxa"/>
            <w:tcBorders/>
          </w:tcPr>
          <w:p>
            <w:pPr>
              <w:pStyle w:val="Normal"/>
              <w:snapToGrid w:val="false"/>
              <w:rPr>
                <w:b/>
                <w:bCs/>
                <w:u w:val="single"/>
              </w:rPr>
            </w:pPr>
            <w:r>
              <w:rPr>
                <w:b/>
                <w:bCs/>
                <w:u w:val="single"/>
              </w:rPr>
            </w:r>
          </w:p>
        </w:tc>
        <w:tc>
          <w:tcPr>
            <w:tcW w:w="4140" w:type="dxa"/>
            <w:gridSpan w:val="3"/>
            <w:tcBorders/>
          </w:tcPr>
          <w:p>
            <w:pPr>
              <w:pStyle w:val="Normal"/>
              <w:snapToGrid w:val="false"/>
              <w:rPr>
                <w:b/>
                <w:bCs/>
                <w:u w:val="single"/>
              </w:rPr>
            </w:pPr>
            <w:r>
              <w:rPr>
                <w:b/>
                <w:bCs/>
                <w:u w:val="single"/>
              </w:rPr>
            </w:r>
          </w:p>
        </w:tc>
        <w:tc>
          <w:tcPr>
            <w:tcW w:w="4680" w:type="dxa"/>
            <w:tcBorders/>
          </w:tcPr>
          <w:p>
            <w:pPr>
              <w:pStyle w:val="Normal"/>
              <w:snapToGrid w:val="false"/>
              <w:rPr/>
            </w:pPr>
            <w:r>
              <w:rPr/>
            </w:r>
          </w:p>
        </w:tc>
      </w:tr>
      <w:tr>
        <w:trPr/>
        <w:tc>
          <w:tcPr>
            <w:tcW w:w="828" w:type="dxa"/>
            <w:tcBorders/>
          </w:tcPr>
          <w:p>
            <w:pPr>
              <w:pStyle w:val="Normal"/>
              <w:snapToGrid w:val="false"/>
              <w:rPr/>
            </w:pPr>
            <w:r>
              <w:rPr/>
            </w:r>
          </w:p>
        </w:tc>
        <w:tc>
          <w:tcPr>
            <w:tcW w:w="1440" w:type="dxa"/>
            <w:gridSpan w:val="2"/>
            <w:tcBorders/>
          </w:tcPr>
          <w:p>
            <w:pPr>
              <w:pStyle w:val="Normal"/>
              <w:rPr/>
            </w:pPr>
            <w:r>
              <w:rPr>
                <w:b/>
                <w:bCs/>
                <w:u w:val="single"/>
              </w:rPr>
              <w:t>Worst Case:</w:t>
            </w:r>
            <w:r>
              <w:rPr/>
              <w:t xml:space="preserve">   </w:t>
            </w:r>
          </w:p>
        </w:tc>
        <w:tc>
          <w:tcPr>
            <w:tcW w:w="2700" w:type="dxa"/>
            <w:tcBorders/>
          </w:tcPr>
          <w:p>
            <w:pPr>
              <w:pStyle w:val="Normal"/>
              <w:rPr/>
            </w:pPr>
            <w:r>
              <w:rPr/>
              <w:t>Add $100,000 - $500,000</w:t>
            </w:r>
          </w:p>
        </w:tc>
        <w:tc>
          <w:tcPr>
            <w:tcW w:w="4680" w:type="dxa"/>
            <w:tcBorders/>
          </w:tcPr>
          <w:p>
            <w:pPr>
              <w:pStyle w:val="Normal"/>
              <w:rPr/>
            </w:pPr>
            <w:r>
              <w:rPr/>
              <w:t>Full-blown trial, in event that motions to dismiss are denied and appellate review is unsuccessful.</w:t>
            </w:r>
          </w:p>
        </w:tc>
      </w:tr>
    </w:tbl>
    <w:p>
      <w:pPr>
        <w:pStyle w:val="Normal"/>
        <w:tabs>
          <w:tab w:val="clear" w:pos="720"/>
          <w:tab w:val="left" w:pos="4824" w:leader="none"/>
          <w:tab w:val="left" w:pos="9648" w:leader="none"/>
        </w:tabs>
        <w:rPr/>
      </w:pPr>
      <w:r>
        <w:rPr/>
        <w:tab/>
      </w:r>
    </w:p>
    <w:tbl>
      <w:tblPr>
        <w:tblW w:w="9648" w:type="dxa"/>
        <w:jc w:val="start"/>
        <w:tblInd w:w="0" w:type="dxa"/>
        <w:tblLayout w:type="fixed"/>
        <w:tblCellMar>
          <w:top w:w="0" w:type="dxa"/>
          <w:start w:w="108" w:type="dxa"/>
          <w:bottom w:w="0" w:type="dxa"/>
          <w:end w:w="108" w:type="dxa"/>
        </w:tblCellMar>
      </w:tblPr>
      <w:tblGrid>
        <w:gridCol w:w="828"/>
        <w:gridCol w:w="1652"/>
        <w:gridCol w:w="2488"/>
        <w:gridCol w:w="4680"/>
      </w:tblGrid>
      <w:tr>
        <w:trPr/>
        <w:tc>
          <w:tcPr>
            <w:tcW w:w="9648" w:type="dxa"/>
            <w:gridSpan w:val="4"/>
            <w:tcBorders/>
          </w:tcPr>
          <w:p>
            <w:pPr>
              <w:pStyle w:val="Normal"/>
              <w:spacing w:before="240" w:after="240"/>
              <w:rPr/>
            </w:pPr>
            <w:r>
              <w:rPr>
                <w:b/>
                <w:bCs/>
              </w:rPr>
              <w:t>D.</w:t>
              <w:tab/>
            </w:r>
            <w:r>
              <w:rPr>
                <w:b/>
                <w:bCs/>
                <w:u w:val="single"/>
              </w:rPr>
              <w:t>Broward County Moratorium Issues</w:t>
            </w:r>
          </w:p>
        </w:tc>
      </w:tr>
      <w:tr>
        <w:trPr/>
        <w:tc>
          <w:tcPr>
            <w:tcW w:w="828" w:type="dxa"/>
            <w:tcBorders/>
          </w:tcPr>
          <w:p>
            <w:pPr>
              <w:pStyle w:val="Normal"/>
              <w:snapToGrid w:val="false"/>
              <w:rPr/>
            </w:pPr>
            <w:r>
              <w:rPr/>
            </w:r>
          </w:p>
        </w:tc>
        <w:tc>
          <w:tcPr>
            <w:tcW w:w="1652" w:type="dxa"/>
            <w:tcBorders/>
          </w:tcPr>
          <w:p>
            <w:pPr>
              <w:pStyle w:val="Normal"/>
              <w:rPr/>
            </w:pPr>
            <w:r>
              <w:rPr>
                <w:b/>
                <w:bCs/>
                <w:u w:val="single"/>
              </w:rPr>
              <w:t>Best Case:</w:t>
            </w:r>
            <w:r>
              <w:rPr/>
              <w:t xml:space="preserve">  </w:t>
            </w:r>
          </w:p>
        </w:tc>
        <w:tc>
          <w:tcPr>
            <w:tcW w:w="2488" w:type="dxa"/>
            <w:tcBorders/>
          </w:tcPr>
          <w:p>
            <w:pPr>
              <w:pStyle w:val="Normal"/>
              <w:snapToGrid w:val="false"/>
              <w:rPr/>
            </w:pPr>
            <w:r>
              <w:rPr/>
            </w:r>
          </w:p>
        </w:tc>
        <w:tc>
          <w:tcPr>
            <w:tcW w:w="4680" w:type="dxa"/>
            <w:tcBorders/>
          </w:tcPr>
          <w:p>
            <w:pPr>
              <w:pStyle w:val="Normal"/>
              <w:rPr/>
            </w:pPr>
            <w:r>
              <w:rPr/>
              <w:t>$35,000</w:t>
            </w:r>
          </w:p>
        </w:tc>
      </w:tr>
      <w:tr>
        <w:trPr/>
        <w:tc>
          <w:tcPr>
            <w:tcW w:w="828" w:type="dxa"/>
            <w:tcBorders/>
          </w:tcPr>
          <w:p>
            <w:pPr>
              <w:pStyle w:val="Normal"/>
              <w:snapToGrid w:val="false"/>
              <w:rPr>
                <w:b/>
                <w:bCs/>
                <w:u w:val="single"/>
              </w:rPr>
            </w:pPr>
            <w:r>
              <w:rPr>
                <w:b/>
                <w:bCs/>
                <w:u w:val="single"/>
              </w:rPr>
            </w:r>
          </w:p>
        </w:tc>
        <w:tc>
          <w:tcPr>
            <w:tcW w:w="1652" w:type="dxa"/>
            <w:tcBorders/>
          </w:tcPr>
          <w:p>
            <w:pPr>
              <w:pStyle w:val="Normal"/>
              <w:snapToGrid w:val="false"/>
              <w:rPr>
                <w:b/>
                <w:bCs/>
                <w:u w:val="single"/>
              </w:rPr>
            </w:pPr>
            <w:r>
              <w:rPr>
                <w:b/>
                <w:bCs/>
                <w:u w:val="single"/>
              </w:rPr>
            </w:r>
          </w:p>
        </w:tc>
        <w:tc>
          <w:tcPr>
            <w:tcW w:w="2488" w:type="dxa"/>
            <w:tcBorders/>
          </w:tcPr>
          <w:p>
            <w:pPr>
              <w:pStyle w:val="Normal"/>
              <w:snapToGrid w:val="false"/>
              <w:rPr>
                <w:b/>
                <w:bCs/>
                <w:u w:val="single"/>
              </w:rPr>
            </w:pPr>
            <w:r>
              <w:rPr>
                <w:b/>
                <w:bCs/>
                <w:u w:val="single"/>
              </w:rPr>
            </w:r>
          </w:p>
        </w:tc>
        <w:tc>
          <w:tcPr>
            <w:tcW w:w="4680" w:type="dxa"/>
            <w:tcBorders/>
          </w:tcPr>
          <w:p>
            <w:pPr>
              <w:pStyle w:val="Normal"/>
              <w:snapToGrid w:val="false"/>
              <w:rPr/>
            </w:pPr>
            <w:r>
              <w:rPr/>
            </w:r>
          </w:p>
        </w:tc>
      </w:tr>
      <w:tr>
        <w:trPr/>
        <w:tc>
          <w:tcPr>
            <w:tcW w:w="828" w:type="dxa"/>
            <w:tcBorders/>
          </w:tcPr>
          <w:p>
            <w:pPr>
              <w:pStyle w:val="Normal"/>
              <w:snapToGrid w:val="false"/>
              <w:rPr>
                <w:b/>
                <w:bCs/>
                <w:u w:val="single"/>
              </w:rPr>
            </w:pPr>
            <w:r>
              <w:rPr>
                <w:b/>
                <w:bCs/>
                <w:u w:val="single"/>
              </w:rPr>
            </w:r>
          </w:p>
        </w:tc>
        <w:tc>
          <w:tcPr>
            <w:tcW w:w="1652" w:type="dxa"/>
            <w:tcBorders/>
          </w:tcPr>
          <w:p>
            <w:pPr>
              <w:pStyle w:val="Normal"/>
              <w:rPr>
                <w:b/>
                <w:bCs/>
                <w:u w:val="single"/>
              </w:rPr>
            </w:pPr>
            <w:r>
              <w:rPr>
                <w:b/>
                <w:bCs/>
                <w:u w:val="single"/>
              </w:rPr>
              <w:t>Worst Case:</w:t>
            </w:r>
            <w:r>
              <w:rPr/>
              <w:t xml:space="preserve">  </w:t>
            </w:r>
          </w:p>
        </w:tc>
        <w:tc>
          <w:tcPr>
            <w:tcW w:w="2488" w:type="dxa"/>
            <w:tcBorders/>
          </w:tcPr>
          <w:p>
            <w:pPr>
              <w:pStyle w:val="Normal"/>
              <w:snapToGrid w:val="false"/>
              <w:rPr>
                <w:b/>
                <w:bCs/>
                <w:u w:val="single"/>
              </w:rPr>
            </w:pPr>
            <w:r>
              <w:rPr>
                <w:b/>
                <w:bCs/>
                <w:u w:val="single"/>
              </w:rPr>
            </w:r>
          </w:p>
        </w:tc>
        <w:tc>
          <w:tcPr>
            <w:tcW w:w="4680" w:type="dxa"/>
            <w:tcBorders/>
          </w:tcPr>
          <w:p>
            <w:pPr>
              <w:pStyle w:val="Normal"/>
              <w:rPr/>
            </w:pPr>
            <w:r>
              <w:rPr/>
              <w:t>$50,000</w:t>
            </w:r>
          </w:p>
        </w:tc>
      </w:tr>
      <w:tr>
        <w:trPr/>
        <w:tc>
          <w:tcPr>
            <w:tcW w:w="2480" w:type="dxa"/>
            <w:gridSpan w:val="2"/>
            <w:tcBorders/>
          </w:tcPr>
          <w:p>
            <w:pPr>
              <w:pStyle w:val="Normal"/>
              <w:snapToGrid w:val="false"/>
              <w:rPr/>
            </w:pPr>
            <w:r>
              <w:rPr/>
            </w:r>
          </w:p>
        </w:tc>
        <w:tc>
          <w:tcPr>
            <w:tcW w:w="2488" w:type="dxa"/>
            <w:tcBorders/>
          </w:tcPr>
          <w:p>
            <w:pPr>
              <w:pStyle w:val="Normal"/>
              <w:snapToGrid w:val="false"/>
              <w:rPr/>
            </w:pPr>
            <w:r>
              <w:rPr/>
            </w:r>
          </w:p>
        </w:tc>
        <w:tc>
          <w:tcPr>
            <w:tcW w:w="4680" w:type="dxa"/>
            <w:tcBorders/>
          </w:tcPr>
          <w:p>
            <w:pPr>
              <w:pStyle w:val="Normal"/>
              <w:snapToGrid w:val="false"/>
              <w:rPr/>
            </w:pPr>
            <w:r>
              <w:rPr/>
            </w:r>
          </w:p>
        </w:tc>
      </w:tr>
      <w:tr>
        <w:trPr/>
        <w:tc>
          <w:tcPr>
            <w:tcW w:w="828" w:type="dxa"/>
            <w:tcBorders/>
          </w:tcPr>
          <w:p>
            <w:pPr>
              <w:pStyle w:val="Normal"/>
              <w:snapToGrid w:val="false"/>
              <w:rPr/>
            </w:pPr>
            <w:r>
              <w:rPr/>
            </w:r>
          </w:p>
        </w:tc>
        <w:tc>
          <w:tcPr>
            <w:tcW w:w="4140" w:type="dxa"/>
            <w:gridSpan w:val="2"/>
            <w:tcBorders/>
          </w:tcPr>
          <w:p>
            <w:pPr>
              <w:pStyle w:val="Normal"/>
              <w:rPr>
                <w:b/>
                <w:bCs/>
                <w:u w:val="single"/>
              </w:rPr>
            </w:pPr>
            <w:r>
              <w:rPr>
                <w:b/>
                <w:bCs/>
                <w:u w:val="single"/>
              </w:rPr>
              <w:t xml:space="preserve">If Petition for Administrative Hearing is filed:  </w:t>
            </w:r>
          </w:p>
        </w:tc>
        <w:tc>
          <w:tcPr>
            <w:tcW w:w="4680" w:type="dxa"/>
            <w:tcBorders/>
          </w:tcPr>
          <w:p>
            <w:pPr>
              <w:pStyle w:val="Normal"/>
              <w:rPr/>
            </w:pPr>
            <w:r>
              <w:rPr/>
              <w:t>Add $100,000 - $250,000</w:t>
            </w:r>
          </w:p>
        </w:tc>
      </w:tr>
      <w:tr>
        <w:trPr/>
        <w:tc>
          <w:tcPr>
            <w:tcW w:w="828" w:type="dxa"/>
            <w:tcBorders/>
          </w:tcPr>
          <w:p>
            <w:pPr>
              <w:pStyle w:val="Normal"/>
              <w:snapToGrid w:val="false"/>
              <w:rPr/>
            </w:pPr>
            <w:r>
              <w:rPr/>
            </w:r>
          </w:p>
        </w:tc>
        <w:tc>
          <w:tcPr>
            <w:tcW w:w="4140" w:type="dxa"/>
            <w:gridSpan w:val="2"/>
            <w:tcBorders/>
          </w:tcPr>
          <w:p>
            <w:pPr>
              <w:pStyle w:val="Normal"/>
              <w:snapToGrid w:val="false"/>
              <w:rPr>
                <w:b/>
                <w:bCs/>
                <w:u w:val="single"/>
              </w:rPr>
            </w:pPr>
            <w:r>
              <w:rPr>
                <w:b/>
                <w:bCs/>
                <w:u w:val="single"/>
              </w:rPr>
            </w:r>
          </w:p>
        </w:tc>
        <w:tc>
          <w:tcPr>
            <w:tcW w:w="4680" w:type="dxa"/>
            <w:tcBorders/>
          </w:tcPr>
          <w:p>
            <w:pPr>
              <w:pStyle w:val="Normal"/>
              <w:snapToGrid w:val="false"/>
              <w:rPr>
                <w:b/>
                <w:bCs/>
                <w:u w:val="single"/>
              </w:rPr>
            </w:pPr>
            <w:r>
              <w:rPr>
                <w:b/>
                <w:bCs/>
                <w:u w:val="single"/>
              </w:rPr>
            </w:r>
          </w:p>
        </w:tc>
      </w:tr>
      <w:tr>
        <w:trPr/>
        <w:tc>
          <w:tcPr>
            <w:tcW w:w="828" w:type="dxa"/>
            <w:tcBorders/>
          </w:tcPr>
          <w:p>
            <w:pPr>
              <w:pStyle w:val="Normal"/>
              <w:snapToGrid w:val="false"/>
              <w:rPr/>
            </w:pPr>
            <w:r>
              <w:rPr/>
            </w:r>
          </w:p>
        </w:tc>
        <w:tc>
          <w:tcPr>
            <w:tcW w:w="4140" w:type="dxa"/>
            <w:gridSpan w:val="2"/>
            <w:tcBorders/>
          </w:tcPr>
          <w:p>
            <w:pPr>
              <w:pStyle w:val="Normal"/>
              <w:rPr/>
            </w:pPr>
            <w:r>
              <w:rPr>
                <w:b/>
                <w:bCs/>
                <w:u w:val="single"/>
              </w:rPr>
              <w:t xml:space="preserve">If </w:t>
            </w:r>
            <w:r>
              <w:rPr>
                <w:b/>
                <w:bCs/>
                <w:caps/>
                <w:u w:val="single"/>
              </w:rPr>
              <w:t>a</w:t>
            </w:r>
            <w:r>
              <w:rPr>
                <w:b/>
                <w:bCs/>
                <w:u w:val="single"/>
              </w:rPr>
              <w:t xml:space="preserve">ppellate Review is sought:  </w:t>
            </w:r>
          </w:p>
        </w:tc>
        <w:tc>
          <w:tcPr>
            <w:tcW w:w="4680" w:type="dxa"/>
            <w:tcBorders/>
          </w:tcPr>
          <w:p>
            <w:pPr>
              <w:pStyle w:val="Normal"/>
              <w:rPr/>
            </w:pPr>
            <w:r>
              <w:rPr/>
              <w:t>Add $35,000-$60,000</w:t>
            </w:r>
          </w:p>
        </w:tc>
      </w:tr>
    </w:tbl>
    <w:p>
      <w:pPr>
        <w:pStyle w:val="Para"/>
        <w:rPr/>
      </w:pPr>
      <w:r>
        <w:rPr/>
      </w:r>
    </w:p>
    <w:p>
      <w:pPr>
        <w:pStyle w:val="Para"/>
        <w:rPr/>
      </w:pPr>
      <w:r>
        <w:rPr/>
        <w:t>The anticipated legal fees associated with an administrative hearing on the declaratory statement are lower than our prior estimates, based upon the fact that such a hearing would likely be narrow in scope and less factually intensive.</w:t>
      </w:r>
      <w:r>
        <w:br w:type="page"/>
      </w:r>
    </w:p>
    <w:p>
      <w:pPr>
        <w:pStyle w:val="Para"/>
        <w:rPr/>
      </w:pPr>
      <w:r>
        <w:rPr/>
      </w:r>
    </w:p>
    <w:tbl>
      <w:tblPr>
        <w:tblW w:w="9648" w:type="dxa"/>
        <w:jc w:val="start"/>
        <w:tblInd w:w="0" w:type="dxa"/>
        <w:tblLayout w:type="fixed"/>
        <w:tblCellMar>
          <w:top w:w="0" w:type="dxa"/>
          <w:start w:w="108" w:type="dxa"/>
          <w:bottom w:w="0" w:type="dxa"/>
          <w:end w:w="108" w:type="dxa"/>
        </w:tblCellMar>
      </w:tblPr>
      <w:tblGrid>
        <w:gridCol w:w="1674"/>
        <w:gridCol w:w="1674"/>
        <w:gridCol w:w="6300"/>
      </w:tblGrid>
      <w:tr>
        <w:trPr/>
        <w:tc>
          <w:tcPr>
            <w:tcW w:w="9648" w:type="dxa"/>
            <w:gridSpan w:val="3"/>
            <w:tcBorders/>
          </w:tcPr>
          <w:p>
            <w:pPr>
              <w:pStyle w:val="Normal"/>
              <w:spacing w:before="240" w:after="240"/>
              <w:rPr>
                <w:b/>
                <w:bCs/>
              </w:rPr>
            </w:pPr>
            <w:r>
              <w:rPr>
                <w:b/>
                <w:bCs/>
              </w:rPr>
              <w:t xml:space="preserve">E.  </w:t>
            </w:r>
            <w:r>
              <w:rPr>
                <w:b/>
                <w:bCs/>
                <w:u w:val="single"/>
              </w:rPr>
              <w:t>Legal Fees Recap</w:t>
            </w:r>
          </w:p>
        </w:tc>
      </w:tr>
      <w:tr>
        <w:trPr/>
        <w:tc>
          <w:tcPr>
            <w:tcW w:w="1674" w:type="dxa"/>
            <w:tcBorders/>
          </w:tcPr>
          <w:p>
            <w:pPr>
              <w:pStyle w:val="Normal"/>
              <w:snapToGrid w:val="false"/>
              <w:rPr>
                <w:b/>
                <w:bCs/>
              </w:rPr>
            </w:pPr>
            <w:r>
              <w:rPr>
                <w:b/>
                <w:bCs/>
              </w:rPr>
            </w:r>
          </w:p>
        </w:tc>
        <w:tc>
          <w:tcPr>
            <w:tcW w:w="1674" w:type="dxa"/>
            <w:tcBorders/>
          </w:tcPr>
          <w:p>
            <w:pPr>
              <w:pStyle w:val="Normal"/>
              <w:rPr/>
            </w:pPr>
            <w:r>
              <w:rPr/>
              <w:t xml:space="preserve">Zoning and Annexation Issues:  </w:t>
            </w:r>
          </w:p>
        </w:tc>
        <w:tc>
          <w:tcPr>
            <w:tcW w:w="6300" w:type="dxa"/>
            <w:tcBorders/>
          </w:tcPr>
          <w:p>
            <w:pPr>
              <w:pStyle w:val="Normal"/>
              <w:rPr/>
            </w:pPr>
            <w:r>
              <w:rPr/>
              <w:t>$60,000-$85,000 (exclusive of challenges).</w:t>
            </w:r>
          </w:p>
        </w:tc>
      </w:tr>
      <w:tr>
        <w:trPr/>
        <w:tc>
          <w:tcPr>
            <w:tcW w:w="3348" w:type="dxa"/>
            <w:gridSpan w:val="2"/>
            <w:tcBorders/>
          </w:tcPr>
          <w:p>
            <w:pPr>
              <w:pStyle w:val="Normal"/>
              <w:snapToGrid w:val="false"/>
              <w:rPr/>
            </w:pPr>
            <w:r>
              <w:rPr/>
            </w:r>
          </w:p>
        </w:tc>
        <w:tc>
          <w:tcPr>
            <w:tcW w:w="6300" w:type="dxa"/>
            <w:tcBorders/>
          </w:tcPr>
          <w:p>
            <w:pPr>
              <w:pStyle w:val="Normal"/>
              <w:snapToGrid w:val="false"/>
              <w:rPr/>
            </w:pPr>
            <w:r>
              <w:rPr/>
            </w:r>
          </w:p>
        </w:tc>
      </w:tr>
      <w:tr>
        <w:trPr/>
        <w:tc>
          <w:tcPr>
            <w:tcW w:w="1674" w:type="dxa"/>
            <w:tcBorders/>
          </w:tcPr>
          <w:p>
            <w:pPr>
              <w:pStyle w:val="Normal"/>
              <w:snapToGrid w:val="false"/>
              <w:rPr/>
            </w:pPr>
            <w:r>
              <w:rPr/>
            </w:r>
          </w:p>
        </w:tc>
        <w:tc>
          <w:tcPr>
            <w:tcW w:w="1674" w:type="dxa"/>
            <w:tcBorders/>
          </w:tcPr>
          <w:p>
            <w:pPr>
              <w:pStyle w:val="Normal"/>
              <w:rPr/>
            </w:pPr>
            <w:r>
              <w:rPr/>
              <w:t xml:space="preserve">Air Permit Challenge:  </w:t>
            </w:r>
          </w:p>
        </w:tc>
        <w:tc>
          <w:tcPr>
            <w:tcW w:w="6300" w:type="dxa"/>
            <w:tcBorders/>
          </w:tcPr>
          <w:p>
            <w:pPr>
              <w:pStyle w:val="Normal"/>
              <w:rPr/>
            </w:pPr>
            <w:r>
              <w:rPr/>
              <w:t>$150,000-$500,000 (exclusive of challenges).</w:t>
            </w:r>
          </w:p>
        </w:tc>
      </w:tr>
      <w:tr>
        <w:trPr/>
        <w:tc>
          <w:tcPr>
            <w:tcW w:w="3348" w:type="dxa"/>
            <w:gridSpan w:val="2"/>
            <w:tcBorders/>
          </w:tcPr>
          <w:p>
            <w:pPr>
              <w:pStyle w:val="Normal"/>
              <w:snapToGrid w:val="false"/>
              <w:rPr/>
            </w:pPr>
            <w:r>
              <w:rPr/>
            </w:r>
          </w:p>
        </w:tc>
        <w:tc>
          <w:tcPr>
            <w:tcW w:w="6300" w:type="dxa"/>
            <w:tcBorders/>
          </w:tcPr>
          <w:p>
            <w:pPr>
              <w:pStyle w:val="Normal"/>
              <w:snapToGrid w:val="false"/>
              <w:rPr/>
            </w:pPr>
            <w:r>
              <w:rPr/>
            </w:r>
          </w:p>
        </w:tc>
      </w:tr>
      <w:tr>
        <w:trPr/>
        <w:tc>
          <w:tcPr>
            <w:tcW w:w="1674" w:type="dxa"/>
            <w:tcBorders/>
          </w:tcPr>
          <w:p>
            <w:pPr>
              <w:pStyle w:val="Normal"/>
              <w:snapToGrid w:val="false"/>
              <w:rPr/>
            </w:pPr>
            <w:r>
              <w:rPr/>
            </w:r>
          </w:p>
        </w:tc>
        <w:tc>
          <w:tcPr>
            <w:tcW w:w="1674" w:type="dxa"/>
            <w:tcBorders/>
          </w:tcPr>
          <w:p>
            <w:pPr>
              <w:pStyle w:val="Normal"/>
              <w:rPr/>
            </w:pPr>
            <w:r>
              <w:rPr/>
              <w:t xml:space="preserve">Coconut Creek Litigation:  </w:t>
            </w:r>
          </w:p>
        </w:tc>
        <w:tc>
          <w:tcPr>
            <w:tcW w:w="6300" w:type="dxa"/>
            <w:tcBorders/>
          </w:tcPr>
          <w:p>
            <w:pPr>
              <w:pStyle w:val="Normal"/>
              <w:rPr/>
            </w:pPr>
            <w:r>
              <w:rPr/>
              <w:t>$12,000-$72,000 (exclusive of a trial and based upon successful motion to dismiss and/or successful appellate-type review).</w:t>
            </w:r>
          </w:p>
        </w:tc>
      </w:tr>
      <w:tr>
        <w:trPr/>
        <w:tc>
          <w:tcPr>
            <w:tcW w:w="3348" w:type="dxa"/>
            <w:gridSpan w:val="2"/>
            <w:tcBorders/>
          </w:tcPr>
          <w:p>
            <w:pPr>
              <w:pStyle w:val="Normal"/>
              <w:snapToGrid w:val="false"/>
              <w:rPr/>
            </w:pPr>
            <w:r>
              <w:rPr/>
            </w:r>
          </w:p>
        </w:tc>
        <w:tc>
          <w:tcPr>
            <w:tcW w:w="6300" w:type="dxa"/>
            <w:tcBorders/>
          </w:tcPr>
          <w:p>
            <w:pPr>
              <w:pStyle w:val="Normal"/>
              <w:snapToGrid w:val="false"/>
              <w:rPr/>
            </w:pPr>
            <w:r>
              <w:rPr/>
            </w:r>
          </w:p>
        </w:tc>
      </w:tr>
      <w:tr>
        <w:trPr/>
        <w:tc>
          <w:tcPr>
            <w:tcW w:w="1674" w:type="dxa"/>
            <w:tcBorders/>
          </w:tcPr>
          <w:p>
            <w:pPr>
              <w:pStyle w:val="Normal"/>
              <w:snapToGrid w:val="false"/>
              <w:rPr/>
            </w:pPr>
            <w:r>
              <w:rPr/>
            </w:r>
          </w:p>
        </w:tc>
        <w:tc>
          <w:tcPr>
            <w:tcW w:w="1674" w:type="dxa"/>
            <w:tcBorders/>
          </w:tcPr>
          <w:p>
            <w:pPr>
              <w:pStyle w:val="Normal"/>
              <w:rPr/>
            </w:pPr>
            <w:r>
              <w:rPr/>
              <w:t xml:space="preserve">Broward County Moratorium Issues:  </w:t>
            </w:r>
          </w:p>
        </w:tc>
        <w:tc>
          <w:tcPr>
            <w:tcW w:w="6300" w:type="dxa"/>
            <w:tcBorders/>
          </w:tcPr>
          <w:p>
            <w:pPr>
              <w:pStyle w:val="Normal"/>
              <w:rPr/>
            </w:pPr>
            <w:r>
              <w:rPr/>
              <w:t>$35,000-$60,000 (exclusive of appeals or administrative challenges).</w:t>
            </w:r>
          </w:p>
        </w:tc>
      </w:tr>
      <w:tr>
        <w:trPr/>
        <w:tc>
          <w:tcPr>
            <w:tcW w:w="3348" w:type="dxa"/>
            <w:gridSpan w:val="2"/>
            <w:tcBorders/>
          </w:tcPr>
          <w:p>
            <w:pPr>
              <w:pStyle w:val="Normal"/>
              <w:snapToGrid w:val="false"/>
              <w:rPr>
                <w:b/>
                <w:bCs/>
              </w:rPr>
            </w:pPr>
            <w:r>
              <w:rPr>
                <w:b/>
                <w:bCs/>
              </w:rPr>
            </w:r>
          </w:p>
        </w:tc>
        <w:tc>
          <w:tcPr>
            <w:tcW w:w="6300" w:type="dxa"/>
            <w:tcBorders/>
          </w:tcPr>
          <w:p>
            <w:pPr>
              <w:pStyle w:val="Normal"/>
              <w:snapToGrid w:val="false"/>
              <w:rPr>
                <w:b/>
                <w:bCs/>
              </w:rPr>
            </w:pPr>
            <w:r>
              <w:rPr>
                <w:b/>
                <w:bCs/>
              </w:rPr>
            </w:r>
          </w:p>
        </w:tc>
      </w:tr>
      <w:tr>
        <w:trPr/>
        <w:tc>
          <w:tcPr>
            <w:tcW w:w="1674" w:type="dxa"/>
            <w:tcBorders/>
          </w:tcPr>
          <w:p>
            <w:pPr>
              <w:pStyle w:val="Normal"/>
              <w:snapToGrid w:val="false"/>
              <w:ind w:start="720" w:end="0"/>
              <w:rPr/>
            </w:pPr>
            <w:r>
              <w:rPr/>
            </w:r>
          </w:p>
        </w:tc>
        <w:tc>
          <w:tcPr>
            <w:tcW w:w="1674" w:type="dxa"/>
            <w:tcBorders/>
          </w:tcPr>
          <w:p>
            <w:pPr>
              <w:pStyle w:val="Normal"/>
              <w:rPr>
                <w:b/>
                <w:bCs/>
              </w:rPr>
            </w:pPr>
            <w:r>
              <w:rPr>
                <w:b/>
                <w:bCs/>
              </w:rPr>
              <w:t>TOTAL</w:t>
            </w:r>
          </w:p>
        </w:tc>
        <w:tc>
          <w:tcPr>
            <w:tcW w:w="6300" w:type="dxa"/>
            <w:tcBorders/>
          </w:tcPr>
          <w:p>
            <w:pPr>
              <w:pStyle w:val="Normal"/>
              <w:rPr/>
            </w:pPr>
            <w:r>
              <w:rPr/>
              <w:t>$247,000 -$717,000 (exclusive of appeals or other challenges, judicial or administrative).</w:t>
            </w:r>
          </w:p>
        </w:tc>
      </w:tr>
    </w:tbl>
    <w:p>
      <w:pPr>
        <w:pStyle w:val="Normal"/>
        <w:tabs>
          <w:tab w:val="clear" w:pos="720"/>
          <w:tab w:val="left" w:pos="3348" w:leader="none"/>
          <w:tab w:val="left" w:pos="9648" w:leader="none"/>
        </w:tabs>
        <w:rPr/>
      </w:pPr>
      <w:r>
        <w:rPr/>
      </w:r>
    </w:p>
    <w:p>
      <w:pPr>
        <w:pStyle w:val="Normal"/>
        <w:tabs>
          <w:tab w:val="clear" w:pos="720"/>
          <w:tab w:val="left" w:pos="3348" w:leader="none"/>
          <w:tab w:val="left" w:pos="9648" w:leader="none"/>
        </w:tabs>
        <w:rPr/>
      </w:pPr>
      <w:r>
        <w:rPr/>
      </w:r>
    </w:p>
    <w:p>
      <w:pPr>
        <w:pStyle w:val="Normal"/>
        <w:tabs>
          <w:tab w:val="clear" w:pos="720"/>
          <w:tab w:val="left" w:pos="3348" w:leader="none"/>
          <w:tab w:val="left" w:pos="9648" w:leader="none"/>
        </w:tabs>
        <w:rPr/>
      </w:pPr>
      <w:r>
        <w:rPr/>
      </w:r>
    </w:p>
    <w:p>
      <w:pPr>
        <w:pStyle w:val="Para"/>
        <w:rPr/>
      </w:pPr>
      <w:r>
        <w:rPr/>
        <w:t xml:space="preserve">I trust that the foregoing has addressed your questions and has provided you with information helpful to your decision-making process.  Please contact me if I can be of further assistance on any of the matters contained herein.  Should you desire to reach me this weekend, please call me at (305) 632-0649 (cellular) or (305) 532-5140 (home).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cc:</w:t>
        <w:tab/>
        <w:t>Debbie M. Orshefsky, Esq. (by fax)</w:t>
      </w:r>
    </w:p>
    <w:p>
      <w:pPr>
        <w:pStyle w:val="Normal"/>
        <w:rPr/>
      </w:pPr>
      <w:r>
        <w:rPr/>
        <w:tab/>
        <w:t>Jeffrey Gilbert, Esq. (by e-mail)</w:t>
      </w:r>
    </w:p>
    <w:p>
      <w:pPr>
        <w:pStyle w:val="Normal"/>
        <w:rPr/>
      </w:pPr>
      <w:r>
        <w:rPr/>
        <w:tab/>
        <w:t>C. Ryan Reetz, Esq. (by e-mail)</w:t>
      </w:r>
    </w:p>
    <w:p>
      <w:pPr>
        <w:pStyle w:val="Normal"/>
        <w:rPr/>
      </w:pPr>
      <w:r>
        <w:rPr/>
        <w:tab/>
        <w:t>Elliot H. Scherker, Esq. (by e-mail)</w:t>
      </w:r>
    </w:p>
    <w:p>
      <w:pPr>
        <w:pStyle w:val="Normal"/>
        <w:rPr/>
      </w:pPr>
      <w:r>
        <w:rPr/>
        <w:tab/>
        <w:t>Paul A. Savage, Esq. (by e-mail)</w:t>
      </w:r>
    </w:p>
    <w:p>
      <w:pPr>
        <w:pStyle w:val="Para"/>
        <w:rPr/>
      </w:pPr>
      <w:r>
        <w:rPr/>
      </w:r>
    </w:p>
    <w:p>
      <w:pPr>
        <w:pStyle w:val="Para"/>
        <w:spacing w:before="0" w:after="120"/>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Please note that we have not yet received final dates for the administrative hearing.  Thus, for purposes of the best case analysis, I have assumed completion of the hearing by the end of November 2001, assuming that the Administrative Law Judge will agree to a bifurcated hearing with the final portion of the hearing occurring on the dates in November for which he is currently available. </w:t>
      </w:r>
    </w:p>
    <w:p>
      <w:pPr>
        <w:pStyle w:val="FootnoteText"/>
        <w:jc w:val="both"/>
        <w:rPr/>
      </w:pPr>
      <w:r>
        <w:rPr/>
      </w:r>
    </w:p>
  </w:footnote>
  <w:footnote w:id="3">
    <w:p>
      <w:pPr>
        <w:pStyle w:val="FootnoteText"/>
        <w:jc w:val="both"/>
        <w:rPr/>
      </w:pPr>
      <w:r>
        <w:rPr>
          <w:rStyle w:val="FootnoteCharacters"/>
        </w:rPr>
        <w:footnoteRef/>
      </w:r>
      <w:r>
        <w:rPr/>
        <w:t xml:space="preserve"> </w:t>
      </w:r>
      <w:r>
        <w:rPr/>
        <w:t xml:space="preserve">As noted above, because we do not have the final hearing dates, I have assumed that we can commence and conclude the hearing by the end of January 2002, given the ALJ’s present availability at that time. </w:t>
      </w:r>
    </w:p>
  </w:footnote>
  <w:footnote w:id="4">
    <w:p>
      <w:pPr>
        <w:pStyle w:val="FootnoteText"/>
        <w:rPr/>
      </w:pPr>
      <w:r>
        <w:rPr>
          <w:rStyle w:val="FootnoteCharacters"/>
        </w:rPr>
        <w:footnoteRef/>
      </w:r>
      <w:r>
        <w:rPr/>
        <w:t xml:space="preserve"> </w:t>
      </w:r>
      <w:r>
        <w:rPr/>
        <w:t xml:space="preserve">The Broward County moratorium is currently scheduled to expire in May 2002, unless extended by the County Commission.  Consequently, should the County fail to extend the moratorium, Enron could elect not to proceed with any administrative or judicial litigation beyond the May 2002 expiration date.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stTopLabel"/>
      <w:tabs>
        <w:tab w:val="clear" w:pos="180"/>
        <w:tab w:val="clear" w:pos="720"/>
      </w:tabs>
      <w:ind w:hanging="0" w:start="0" w:end="0"/>
      <w:rPr>
        <w:sz w:val="18"/>
      </w:rPr>
    </w:pPr>
    <w:r>
      <w:rPr>
        <w:sz w:val="18"/>
      </w:rPr>
      <w:t>Re: Deerfield Beach Facility:/Estimated Time Frames and Legal Fees for Obtaining Necessary Approvals</w:t>
    </w:r>
  </w:p>
  <w:p>
    <w:pPr>
      <w:pStyle w:val="Header"/>
      <w:rPr>
        <w:sz w:val="18"/>
      </w:rPr>
    </w:pPr>
    <w:r>
      <w:rPr>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docVars>
    <w:docVar w:name="AutoUpdate" w:val="ON"/>
    <w:docVar w:name="curLevel" w:val="0"/>
    <w:docVar w:name="curNumDef" w:val="Para"/>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Para"/>
    <w:next w:val="BodyText"/>
    <w:qFormat/>
    <w:pPr>
      <w:spacing w:before="360" w:after="360"/>
      <w:jc w:val="center"/>
    </w:pPr>
    <w:rPr>
      <w:b/>
      <w:bCs/>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pLabel">
    <w:name w:val="Top Label"/>
    <w:basedOn w:val="Normal"/>
    <w:qFormat/>
    <w:pPr>
      <w:tabs>
        <w:tab w:val="right" w:pos="180" w:leader="none"/>
        <w:tab w:val="left" w:pos="720" w:leader="none"/>
      </w:tabs>
      <w:overflowPunct w:val="false"/>
      <w:autoSpaceDE w:val="false"/>
      <w:spacing w:before="0" w:after="240"/>
      <w:ind w:hanging="1350" w:start="720" w:end="0"/>
      <w:textAlignment w:val="baseline"/>
    </w:pPr>
    <w:rPr>
      <w:b/>
      <w:szCs w:val="20"/>
    </w:rPr>
  </w:style>
  <w:style w:type="paragraph" w:styleId="LastTopLabel">
    <w:name w:val="Last Top Label"/>
    <w:basedOn w:val="TopLabel"/>
    <w:next w:val="BodyText"/>
    <w:qFormat/>
    <w:pPr>
      <w:spacing w:before="0" w:after="0"/>
      <w:ind w:hanging="1354" w:start="720" w:end="0"/>
      <w:jc w:val="both"/>
    </w:pPr>
    <w:rPr>
      <w:b w:val="false"/>
    </w:rPr>
  </w:style>
  <w:style w:type="paragraph" w:styleId="DblLine">
    <w:name w:val="Dbl Line"/>
    <w:basedOn w:val="Normal"/>
    <w:qFormat/>
    <w:pPr>
      <w:pBdr>
        <w:bottom w:val="double" w:sz="6" w:space="1" w:color="000000"/>
      </w:pBdr>
      <w:overflowPunct w:val="false"/>
      <w:autoSpaceDE w:val="false"/>
      <w:spacing w:before="0" w:after="360"/>
      <w:textAlignment w:val="baseline"/>
    </w:pPr>
    <w:rPr>
      <w:szCs w:val="20"/>
    </w:rPr>
  </w:style>
  <w:style w:type="paragraph" w:styleId="FootnoteText">
    <w:name w:val="footnote text"/>
    <w:basedOn w:val="Normal"/>
    <w:pPr/>
    <w:rPr>
      <w:sz w:val="20"/>
      <w:szCs w:val="20"/>
    </w:rPr>
  </w:style>
  <w:style w:type="paragraph" w:styleId="Style14">
    <w:name w:val="Style1"/>
    <w:basedOn w:val="Normal"/>
    <w:qFormat/>
    <w:pPr>
      <w:tabs>
        <w:tab w:val="left" w:pos="720" w:leader="none"/>
      </w:tabs>
      <w:jc w:val="both"/>
    </w:pPr>
    <w:rPr/>
  </w:style>
  <w:style w:type="paragraph" w:styleId="Para">
    <w:name w:val="Para"/>
    <w:basedOn w:val="Normal"/>
    <w:qFormat/>
    <w:pPr>
      <w:spacing w:before="0" w:after="12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2001-09-08T14:15:00Z</dcterms:created>
  <dc:creator>yorks</dc:creator>
  <dc:description/>
  <dc:language>en-CA</dc:language>
  <cp:lastModifiedBy>yorks</cp:lastModifiedBy>
  <cp:lastPrinted>2001-09-08T12:50:00Z</cp:lastPrinted>
  <dcterms:modified xsi:type="dcterms:W3CDTF">2001-09-08T14:15:00Z</dcterms:modified>
  <cp:revision>2</cp:revision>
  <dc:subject/>
  <dc:title>Greenberg Traurig</dc:title>
</cp:coreProperties>
</file>