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jc w:val="start"/>
        <w:rPr/>
      </w:pPr>
      <w:r>
        <w:rPr/>
        <w:fldChar w:fldCharType="begin"/>
      </w:r>
      <w:r>
        <w:rPr/>
        <w:instrText xml:space="preserve"> DATE \@"MMMM\ d', 'yyyy" </w:instrText>
      </w:r>
      <w:r>
        <w:rPr/>
        <w:fldChar w:fldCharType="separate"/>
      </w:r>
      <w:r>
        <w:rPr/>
        <w:t>September 28, 2025</w:t>
      </w:r>
      <w:r>
        <w:rPr/>
        <w:fldChar w:fldCharType="end"/>
      </w:r>
    </w:p>
    <w:p>
      <w:pPr>
        <w:pStyle w:val="Normal"/>
        <w:rPr/>
      </w:pPr>
      <w:r>
        <w:rPr/>
        <w:tab/>
        <w:tab/>
        <w:tab/>
        <w:tab/>
        <w:tab/>
        <w:tab/>
      </w:r>
      <w:r>
        <w:rPr>
          <w:u w:val="single"/>
        </w:rPr>
        <w:t xml:space="preserve">Sent via Federal Express </w:t>
      </w:r>
    </w:p>
    <w:p>
      <w:pPr>
        <w:pStyle w:val="Normal"/>
        <w:rPr/>
      </w:pPr>
      <w:r>
        <w:rPr/>
        <w:tab/>
        <w:tab/>
        <w:tab/>
        <w:tab/>
        <w:tab/>
        <w:tab/>
        <w:tab/>
        <w:t xml:space="preserve"> </w:t>
      </w:r>
    </w:p>
    <w:p>
      <w:pPr>
        <w:pStyle w:val="Normal"/>
        <w:rPr/>
      </w:pPr>
      <w:r>
        <w:rPr/>
      </w:r>
    </w:p>
    <w:p>
      <w:pPr>
        <w:pStyle w:val="Normal"/>
        <w:rPr/>
      </w:pPr>
      <w:r>
        <w:rPr/>
        <w:t>Mr. Jan Smutny-Jones</w:t>
      </w:r>
    </w:p>
    <w:p>
      <w:pPr>
        <w:pStyle w:val="Normal"/>
        <w:rPr/>
      </w:pPr>
      <w:r>
        <w:rPr/>
        <w:t>Executive Director</w:t>
      </w:r>
    </w:p>
    <w:p>
      <w:pPr>
        <w:pStyle w:val="Normal"/>
        <w:rPr/>
      </w:pPr>
      <w:r>
        <w:rPr/>
        <w:t>Independent Energy Producers</w:t>
      </w:r>
    </w:p>
    <w:p>
      <w:pPr>
        <w:pStyle w:val="Normal"/>
        <w:rPr/>
      </w:pPr>
      <w:r>
        <w:rPr/>
        <w:t>1215 K Street, Suite 900</w:t>
      </w:r>
    </w:p>
    <w:p>
      <w:pPr>
        <w:pStyle w:val="Normal"/>
        <w:rPr/>
      </w:pPr>
      <w:r>
        <w:rPr/>
        <w:t>Sacramento, CA  95814</w:t>
      </w:r>
    </w:p>
    <w:p>
      <w:pPr>
        <w:pStyle w:val="Normal"/>
        <w:rPr/>
      </w:pPr>
      <w:r>
        <w:rPr/>
      </w:r>
    </w:p>
    <w:p>
      <w:pPr>
        <w:pStyle w:val="Normal"/>
        <w:rPr/>
      </w:pPr>
      <w:r>
        <w:rPr/>
        <w:t>Dear Mr. Smutny-Jones:</w:t>
      </w:r>
    </w:p>
    <w:p>
      <w:pPr>
        <w:pStyle w:val="Normal"/>
        <w:rPr/>
      </w:pPr>
      <w:r>
        <w:rPr/>
      </w:r>
    </w:p>
    <w:p>
      <w:pPr>
        <w:pStyle w:val="Normal"/>
        <w:rPr/>
      </w:pPr>
      <w:r>
        <w:rPr/>
        <w:tab/>
        <w:t>Thank you for your August 16</w:t>
      </w:r>
      <w:r>
        <w:rPr>
          <w:vertAlign w:val="superscript"/>
        </w:rPr>
        <w:t>th</w:t>
      </w:r>
      <w:r>
        <w:rPr/>
        <w:t xml:space="preserve"> letter expressing IEPA’s concerns regarding the settlement and payment procedures followed by the California ISO for the trade months of April and May 2001, and the continuing defaults that have occurred in ISO markets.  We appreciate being given the opportunity to explain the complexities the ISO now faces in settling the market in an equitable manner, without compromising any interest to the advantage of another.   </w:t>
      </w:r>
    </w:p>
    <w:p>
      <w:pPr>
        <w:pStyle w:val="Normal"/>
        <w:rPr/>
      </w:pPr>
      <w:r>
        <w:rPr/>
      </w:r>
    </w:p>
    <w:p>
      <w:pPr>
        <w:pStyle w:val="Normal"/>
        <w:rPr/>
      </w:pPr>
      <w:r>
        <w:rPr/>
        <w:tab/>
        <w:t xml:space="preserve">The ISO functions as a conduit to settle market transactions.  We distribute only what has been paid on a monthly basis, after exercising our priority claim for Grid Management Charge, if necessary.  All funds available for distribution are distributed on a monthly basis. The elements of the settlement process are clearly set forth in the ISO Tariff.    Unfortunately, in the current environment, many market participants are not complying with the payment provisions of the ISO Tariff, and this has stressed the payment system.  Two issues have contributed to ISO's continuing challenges in this area. </w:t>
      </w:r>
    </w:p>
    <w:p>
      <w:pPr>
        <w:pStyle w:val="Normal"/>
        <w:ind w:firstLine="720" w:end="0"/>
        <w:rPr/>
      </w:pPr>
      <w:r>
        <w:rPr/>
      </w:r>
    </w:p>
    <w:p>
      <w:pPr>
        <w:pStyle w:val="Normal"/>
        <w:ind w:firstLine="720" w:end="0"/>
        <w:rPr>
          <w:i/>
          <w:i/>
        </w:rPr>
      </w:pPr>
      <w:r>
        <w:rPr/>
        <w:t>First, the initial payment defaults by the California Power Exchange and Investor Owned Utilities (IOUs) have led certain Scheduling Coordinators to improperly attempt to net current obligations to the ISO market against previous unpaid balances owed by the ISO market. ISO Tariff Sections 11.3.2, 11.6.2, and 11.10 together require Scheduling Coordinators to settle each trade month separately and in full.  As such, Scheduling Coordinators are required to pay any net debit or are entitled to receive any net credit shown on their invoices in accordance with the payment schedule for that month.  The Tariff does not permit any Scheduling Coordinator to withhold payment of any amount owed, even if it is subject to dispute.  Offsetting net monthly amounts by market participants is also not permitted. The ISO has been unable to effectively prevent Scheduling Coordinators from taking these actions, because generally the parties who have done so have not been required to have financial security posted at the ISO.</w:t>
      </w:r>
    </w:p>
    <w:p>
      <w:pPr>
        <w:pStyle w:val="Normal"/>
        <w:ind w:firstLine="720" w:end="0"/>
        <w:rPr/>
      </w:pPr>
      <w:r>
        <w:rPr>
          <w:rFonts w:eastAsia="Arial"/>
          <w:i/>
        </w:rPr>
        <w:t xml:space="preserve"> </w:t>
      </w:r>
      <w:r>
        <w:rPr>
          <w:rFonts w:eastAsia="Arial"/>
        </w:rPr>
        <w:t xml:space="preserve"> </w:t>
      </w:r>
    </w:p>
    <w:p>
      <w:pPr>
        <w:pStyle w:val="Normal"/>
        <w:ind w:firstLine="720" w:end="0"/>
        <w:rPr/>
      </w:pPr>
      <w:r>
        <w:rPr/>
      </w:r>
    </w:p>
    <w:p>
      <w:pPr>
        <w:pStyle w:val="Normal"/>
        <w:ind w:firstLine="720" w:end="0"/>
        <w:rPr/>
      </w:pPr>
      <w:r>
        <w:rPr/>
        <w:t>This situation results in insufficient funds for the ISO to clear the cash market on the relevant payment dates.  Scheduling Coordinators who are offsetting from one month to another, or not paying current bills, are putting those who do keep current month-to-month at risk of not being paid or reimbursed for adjustments made on the final invoice.   The ISO refrained from making a distribution on the May preliminary invoice to address this latest inequity.</w:t>
      </w:r>
    </w:p>
    <w:p>
      <w:pPr>
        <w:pStyle w:val="Normal"/>
        <w:ind w:firstLine="720" w:end="0"/>
        <w:rPr/>
      </w:pPr>
      <w:r>
        <w:rPr/>
      </w:r>
    </w:p>
    <w:p>
      <w:pPr>
        <w:pStyle w:val="Normal"/>
        <w:ind w:firstLine="720" w:end="0"/>
        <w:rPr/>
      </w:pPr>
      <w:r>
        <w:rPr>
          <w:rFonts w:eastAsia="Arial"/>
        </w:rPr>
        <w:t xml:space="preserve">   </w:t>
      </w:r>
      <w:r>
        <w:rPr/>
        <w:t xml:space="preserve">Since trade month June 2000, the ISO has received funds from Scheduling Coordinators based on preliminary invoice amounts, disbursed those funds to Scheduling Coordinators owed payments, and, upon the availability of final settlement statement data, issued final invoices to true-up discrepancies from the preliminary invoice for the same month.  As noted above, recently certain Scheduling Coordinators have elected to pay less than their full obligation on either or both payment dates, while others who met their payment in full on the preliminary invoice were sometimes due refunds on the final.  Such circumstances made it difficult, if not impossible for the ISO to maintain an equitable pro-rata distribution of funds for the month as a whole.   As noted in our Market Notice of August 1, 2001, in order to address this fundamental inequity that has evolved, and to maintain, as best possible, the integrity of the ISO settlements process, the ISO elected to defer its May distribution based on preliminary invoices.  We plan to distribute all funds received for the month on a pro rata basis following issuance of the final settlement invoice for the month. </w:t>
      </w:r>
    </w:p>
    <w:p>
      <w:pPr>
        <w:pStyle w:val="Normal"/>
        <w:ind w:firstLine="720" w:end="0"/>
        <w:rPr/>
      </w:pPr>
      <w:r>
        <w:rPr/>
      </w:r>
    </w:p>
    <w:p>
      <w:pPr>
        <w:pStyle w:val="Normal"/>
        <w:ind w:firstLine="720" w:end="0"/>
        <w:rPr/>
      </w:pPr>
      <w:r>
        <w:rPr/>
        <w:t>Second, while the obligation of the California Department of Water Resources</w:t>
      </w:r>
      <w:r>
        <w:rPr>
          <w:rStyle w:val="FootnoteCharacters"/>
          <w:rStyle w:val="FootnoteReference"/>
        </w:rPr>
        <w:footnoteReference w:id="2"/>
      </w:r>
      <w:r>
        <w:rPr/>
        <w:t xml:space="preserve"> ("CDWR/CERS") to purchase the net short position of the IOUs, as specified in California Assembly Bill 1X, commenced in January 2001,  the parties involved in this have not as yet come to full agreement as to how such obligations are to be settled.  However, CDWR/CERS has been making and settling long- and short-term power contracts since that date.</w:t>
      </w:r>
    </w:p>
    <w:p>
      <w:pPr>
        <w:pStyle w:val="Normal"/>
        <w:ind w:firstLine="720" w:end="0"/>
        <w:rPr/>
      </w:pPr>
      <w:r>
        <w:rPr/>
      </w:r>
    </w:p>
    <w:p>
      <w:pPr>
        <w:pStyle w:val="Normal"/>
        <w:ind w:firstLine="720" w:end="0"/>
        <w:rPr/>
      </w:pPr>
      <w:r>
        <w:rPr>
          <w:rFonts w:eastAsia="Arial"/>
        </w:rPr>
        <w:t xml:space="preserve"> </w:t>
      </w:r>
      <w:r>
        <w:rPr/>
        <w:t xml:space="preserve">Currently, ISO records reflect the IOUs as debtors to the ISO market, due to the fact that they act as load-serving entities by providing metering data to the ISO, which shows them as net consumers of energy and ancillary services.  Conversely, ISO records reflect CDWR/CERS as the single largest supplier of power to the ISO grid.   PG&amp;E and SCE are not making market related payments to the ISO.  The ISO and CDWR/CERS have met frequently since January to reach an agreement as to how CDWR/CERS would provide the financial backing for the IOU requirements met in ISO markets.  Various options have been explored, but agreement has not yet been reached.  These discussions continue, and progress has been made.  However, until a </w:t>
      </w:r>
    </w:p>
    <w:p>
      <w:pPr>
        <w:pStyle w:val="Normal"/>
        <w:rPr/>
      </w:pPr>
      <w:r>
        <w:rPr/>
      </w:r>
    </w:p>
    <w:p>
      <w:pPr>
        <w:pStyle w:val="Normal"/>
        <w:rPr/>
      </w:pPr>
      <w:r>
        <w:rPr/>
      </w:r>
    </w:p>
    <w:p>
      <w:pPr>
        <w:pStyle w:val="Normal"/>
        <w:rPr/>
      </w:pPr>
      <w:r>
        <w:rPr/>
      </w:r>
    </w:p>
    <w:p>
      <w:pPr>
        <w:pStyle w:val="Normal"/>
        <w:rPr/>
      </w:pPr>
      <w:r>
        <w:rPr/>
      </w:r>
    </w:p>
    <w:p>
      <w:pPr>
        <w:pStyle w:val="Normal"/>
        <w:rPr/>
      </w:pPr>
      <w:r>
        <w:rPr/>
        <w:t>resolution is reached, the ISO can not enforce the payment obligation of CDWR/CERS.    CDWR/CERS, as an entity whose obligations are backed by the State of California, has an Approved Credit Rating under the ISO tariff, and accordingly is not required to post financial security at the ISO.</w:t>
      </w:r>
    </w:p>
    <w:p>
      <w:pPr>
        <w:pStyle w:val="Normal"/>
        <w:ind w:firstLine="720" w:end="0"/>
        <w:rPr/>
      </w:pPr>
      <w:r>
        <w:rPr/>
      </w:r>
    </w:p>
    <w:p>
      <w:pPr>
        <w:pStyle w:val="BodyTextIndent"/>
        <w:rPr/>
      </w:pPr>
      <w:r>
        <w:rPr/>
        <w:t>With specific regard to IEPA’s concerns about the financial security requirements of the Tariff, the two issues noted (invoice netting and the CDWR/CERS payment guaranty) are the primary reasons for the continuing payment defaults.  For the parties involved, the ISO does not have financial security postings to draw against to offset the effect of these issues.  Parties either have an Approved Credit rating, were not required to post security as they have consistently been owed funds from the ISO markets, or have been requested to increase their security postings and have not yet done so.  Since the market defaults first occurred for the trade month of October 2000, the ISO has issued formal Certifications, as required under Section 11.20.2 of the ISO Tariff, to all ISO market creditors which list the defaulting parties for each trade month.  In addition, as you requested, we are providing a listing of:</w:t>
      </w:r>
    </w:p>
    <w:p>
      <w:pPr>
        <w:pStyle w:val="BodyTextIndent"/>
        <w:rPr/>
      </w:pPr>
      <w:r>
        <w:rPr/>
      </w:r>
    </w:p>
    <w:p>
      <w:pPr>
        <w:pStyle w:val="BodyTextIndent"/>
        <w:numPr>
          <w:ilvl w:val="0"/>
          <w:numId w:val="3"/>
        </w:numPr>
        <w:rPr/>
      </w:pPr>
      <w:r>
        <w:rPr/>
        <w:t>all entities that have not provided financial security, but instead have an Approved Credit Rating.</w:t>
      </w:r>
    </w:p>
    <w:p>
      <w:pPr>
        <w:pStyle w:val="BodyTextIndent"/>
        <w:ind w:hanging="0" w:start="780" w:end="0"/>
        <w:rPr/>
      </w:pPr>
      <w:r>
        <w:rPr/>
      </w:r>
    </w:p>
    <w:p>
      <w:pPr>
        <w:pStyle w:val="BodyTextIndent"/>
        <w:numPr>
          <w:ilvl w:val="0"/>
          <w:numId w:val="3"/>
        </w:numPr>
        <w:rPr/>
      </w:pPr>
      <w:r>
        <w:rPr/>
        <w:t xml:space="preserve">entities which have outstanding back obligations to the ISO (although which, on a net basis, may be owed funds from the ISO market)  and either are required to post financial security or have relied on an Approved Credit Rating.  For the entities listed, back obligations exceed any available posted security. </w:t>
      </w:r>
    </w:p>
    <w:p>
      <w:pPr>
        <w:pStyle w:val="BodyTextIndent"/>
        <w:ind w:hanging="0" w:start="780" w:end="0"/>
        <w:rPr/>
      </w:pPr>
      <w:r>
        <w:rPr/>
      </w:r>
    </w:p>
    <w:p>
      <w:pPr>
        <w:pStyle w:val="BodyTextIndent"/>
        <w:numPr>
          <w:ilvl w:val="0"/>
          <w:numId w:val="3"/>
        </w:numPr>
        <w:rPr/>
      </w:pPr>
      <w:r>
        <w:rPr/>
        <w:t>entities which, based on ISO calculations, currently owe the ISO market for unsettled obligations in the normal course of business, and have outstanding obligations to the ISO for one or more months (although which, on a net basis, may be owed funds from the ISO market).  These Scheduling Coordinators include those that are required to post financial security or have relied on an Approved Credit Rating.  For the entities listed, current or back obligations exceed any available posted security.</w:t>
      </w:r>
    </w:p>
    <w:p>
      <w:pPr>
        <w:pStyle w:val="Normal"/>
        <w:ind w:start="720" w:end="0"/>
        <w:rPr>
          <w:color w:val="000000"/>
          <w:lang w:eastAsia="en-US"/>
        </w:rPr>
      </w:pPr>
      <w:r>
        <w:rPr>
          <w:color w:val="000000"/>
          <w:lang w:eastAsia="en-US"/>
        </w:rPr>
      </w:r>
    </w:p>
    <w:p>
      <w:pPr>
        <w:pStyle w:val="BodyTextIndent"/>
        <w:rPr/>
      </w:pPr>
      <w:r>
        <w:rPr/>
        <w:t xml:space="preserve">You also inquire about various audits and studies conducted by the ISO.  The ISO's code of conduct audit is conducted annually, and like last year, will commence in September, with a report to be issued in November.  All ISO employees and contractors are required to signify in writing that they meet the financial independence requirements established by regulators, and as set forth in the employee handbook.  The ISO also engages its auditor to conduct an annual Operational Study to review ISO practices and procedures regarding grid operations and market activities, and the compliance of these with the ISO tariff.  The field work for the study will commence in September, and a </w:t>
      </w:r>
    </w:p>
    <w:p>
      <w:pPr>
        <w:pStyle w:val="BodyTextIndent"/>
        <w:ind w:hanging="0" w:end="0"/>
        <w:rPr/>
      </w:pPr>
      <w:r>
        <w:rPr/>
      </w:r>
    </w:p>
    <w:p>
      <w:pPr>
        <w:pStyle w:val="BodyTextIndent"/>
        <w:ind w:hanging="0" w:end="0"/>
        <w:rPr/>
      </w:pPr>
      <w:r>
        <w:rPr/>
      </w:r>
    </w:p>
    <w:p>
      <w:pPr>
        <w:pStyle w:val="BodyTextIndent"/>
        <w:ind w:hanging="0" w:end="0"/>
        <w:rPr/>
      </w:pPr>
      <w:r>
        <w:rPr/>
        <w:t>report is anticipated in November.    In response to your request, attached to this letter are the following:</w:t>
      </w:r>
    </w:p>
    <w:p>
      <w:pPr>
        <w:pStyle w:val="Normal"/>
        <w:ind w:start="720" w:end="0"/>
        <w:rPr>
          <w:color w:val="000000"/>
          <w:lang w:eastAsia="en-US"/>
        </w:rPr>
      </w:pPr>
      <w:r>
        <w:rPr>
          <w:color w:val="000000"/>
          <w:lang w:eastAsia="en-US"/>
        </w:rPr>
      </w:r>
    </w:p>
    <w:p>
      <w:pPr>
        <w:pStyle w:val="Normal"/>
        <w:numPr>
          <w:ilvl w:val="0"/>
          <w:numId w:val="1"/>
        </w:numPr>
        <w:tabs>
          <w:tab w:val="clear" w:pos="720"/>
          <w:tab w:val="left" w:pos="1152" w:leader="none"/>
        </w:tabs>
        <w:ind w:hanging="432" w:start="1152" w:end="0"/>
        <w:rPr>
          <w:color w:val="000000"/>
          <w:lang w:eastAsia="en-US"/>
        </w:rPr>
      </w:pPr>
      <w:r>
        <w:rPr/>
        <w:t xml:space="preserve">The ISO’s Code of Conduct Audit dated November 15, 2000.  See also </w:t>
      </w:r>
    </w:p>
    <w:p>
      <w:pPr>
        <w:pStyle w:val="Normal"/>
        <w:tabs>
          <w:tab w:val="clear" w:pos="720"/>
          <w:tab w:val="left" w:pos="1467" w:leader="none"/>
        </w:tabs>
        <w:rPr/>
      </w:pPr>
      <w:r>
        <w:rPr>
          <w:rFonts w:eastAsia="Arial"/>
        </w:rPr>
        <w:t xml:space="preserve">                  </w:t>
      </w:r>
      <w:hyperlink r:id="rId2">
        <w:r>
          <w:rPr>
            <w:rStyle w:val="Hyperlink"/>
          </w:rPr>
          <w:t>http://www.caiso.com/docs/09003a6080/09/d1/09003a608009d18a.pdf</w:t>
        </w:r>
      </w:hyperlink>
      <w:r>
        <w:rPr/>
        <w:t xml:space="preserve"> </w:t>
      </w:r>
    </w:p>
    <w:p>
      <w:pPr>
        <w:pStyle w:val="Normal"/>
        <w:tabs>
          <w:tab w:val="clear" w:pos="720"/>
          <w:tab w:val="left" w:pos="1467" w:leader="none"/>
        </w:tabs>
        <w:rPr/>
      </w:pPr>
      <w:r>
        <w:rPr/>
      </w:r>
    </w:p>
    <w:p>
      <w:pPr>
        <w:pStyle w:val="Normal"/>
        <w:numPr>
          <w:ilvl w:val="0"/>
          <w:numId w:val="2"/>
        </w:numPr>
        <w:tabs>
          <w:tab w:val="clear" w:pos="720"/>
          <w:tab w:val="left" w:pos="1152" w:leader="none"/>
        </w:tabs>
        <w:ind w:hanging="432" w:start="1152" w:end="0"/>
        <w:jc w:val="start"/>
        <w:rPr>
          <w:color w:val="000000"/>
          <w:lang w:eastAsia="en-US"/>
        </w:rPr>
      </w:pPr>
      <w:r>
        <w:rPr/>
        <w:t xml:space="preserve">The ISO’s Operational Study dated November 9, 2000. See also </w:t>
      </w:r>
      <w:hyperlink r:id="rId3">
        <w:r>
          <w:rPr>
            <w:rStyle w:val="Hyperlink"/>
          </w:rPr>
          <w:t>http://www.caiso.com/docs/09003a6080/09/d1/09003a608009d18d.pdf</w:t>
        </w:r>
      </w:hyperlink>
      <w:r>
        <w:rPr>
          <w:color w:val="000000"/>
          <w:lang w:eastAsia="en-US"/>
        </w:rPr>
        <w:t>.</w:t>
      </w:r>
    </w:p>
    <w:p>
      <w:pPr>
        <w:pStyle w:val="Normal"/>
        <w:ind w:start="720" w:end="0"/>
        <w:rPr>
          <w:color w:val="000000"/>
          <w:lang w:eastAsia="en-US"/>
        </w:rPr>
      </w:pPr>
      <w:r>
        <w:rPr>
          <w:color w:val="000000"/>
          <w:lang w:eastAsia="en-US"/>
        </w:rPr>
      </w:r>
    </w:p>
    <w:p>
      <w:pPr>
        <w:pStyle w:val="Normal"/>
        <w:ind w:start="720" w:end="0"/>
        <w:rPr>
          <w:color w:val="000000"/>
          <w:lang w:eastAsia="en-US"/>
        </w:rPr>
      </w:pPr>
      <w:r>
        <w:rPr>
          <w:color w:val="000000"/>
          <w:lang w:eastAsia="en-US"/>
        </w:rPr>
      </w:r>
    </w:p>
    <w:p>
      <w:pPr>
        <w:pStyle w:val="BodyTextIndent"/>
        <w:tabs>
          <w:tab w:val="clear" w:pos="720"/>
          <w:tab w:val="left" w:pos="1467" w:leader="none"/>
        </w:tabs>
        <w:rPr>
          <w:b/>
          <w:i/>
          <w:i/>
        </w:rPr>
      </w:pPr>
      <w:r>
        <w:rPr/>
        <w:t xml:space="preserve">If you have any further questions about this matter, please do not hesitate to contact me.  </w:t>
      </w:r>
    </w:p>
    <w:p>
      <w:pPr>
        <w:pStyle w:val="Normal"/>
        <w:tabs>
          <w:tab w:val="clear" w:pos="720"/>
          <w:tab w:val="left" w:pos="1467" w:leader="none"/>
        </w:tabs>
        <w:ind w:firstLine="720" w:end="0"/>
        <w:rPr>
          <w:b/>
          <w:i/>
          <w:i/>
        </w:rPr>
      </w:pPr>
      <w:r>
        <w:rPr>
          <w:b/>
          <w:i/>
        </w:rPr>
      </w:r>
    </w:p>
    <w:p>
      <w:pPr>
        <w:pStyle w:val="Normal"/>
        <w:tabs>
          <w:tab w:val="clear" w:pos="720"/>
          <w:tab w:val="left" w:pos="1467" w:leader="none"/>
        </w:tabs>
        <w:ind w:firstLine="720" w:end="0"/>
        <w:rPr>
          <w:b/>
        </w:rPr>
      </w:pPr>
      <w:r>
        <w:rPr>
          <w:b/>
        </w:rPr>
        <w:tab/>
        <w:tab/>
        <w:tab/>
        <w:tab/>
        <w:tab/>
        <w:tab/>
      </w:r>
    </w:p>
    <w:p>
      <w:pPr>
        <w:pStyle w:val="Normal"/>
        <w:tabs>
          <w:tab w:val="clear" w:pos="720"/>
          <w:tab w:val="left" w:pos="1467" w:leader="none"/>
        </w:tabs>
        <w:rPr/>
      </w:pPr>
      <w:r>
        <w:rPr/>
        <w:t>Sincerely,</w:t>
      </w:r>
    </w:p>
    <w:p>
      <w:pPr>
        <w:pStyle w:val="Normal"/>
        <w:tabs>
          <w:tab w:val="clear" w:pos="720"/>
          <w:tab w:val="left" w:pos="1467" w:leader="none"/>
        </w:tabs>
        <w:ind w:firstLine="720" w:end="0"/>
        <w:rPr/>
      </w:pPr>
      <w:r>
        <w:rPr/>
      </w:r>
    </w:p>
    <w:p>
      <w:pPr>
        <w:pStyle w:val="Normal"/>
        <w:tabs>
          <w:tab w:val="clear" w:pos="720"/>
          <w:tab w:val="left" w:pos="1467" w:leader="none"/>
        </w:tabs>
        <w:ind w:firstLine="720" w:end="0"/>
        <w:rPr/>
      </w:pPr>
      <w:r>
        <w:rPr/>
      </w:r>
    </w:p>
    <w:p>
      <w:pPr>
        <w:pStyle w:val="Normal"/>
        <w:tabs>
          <w:tab w:val="clear" w:pos="720"/>
          <w:tab w:val="left" w:pos="1467" w:leader="none"/>
        </w:tabs>
        <w:ind w:firstLine="720" w:end="0"/>
        <w:rPr/>
      </w:pPr>
      <w:r>
        <w:rPr/>
      </w:r>
    </w:p>
    <w:p>
      <w:pPr>
        <w:pStyle w:val="Normal"/>
        <w:numPr>
          <w:ilvl w:val="0"/>
          <w:numId w:val="0"/>
        </w:numPr>
        <w:tabs>
          <w:tab w:val="clear" w:pos="720"/>
          <w:tab w:val="left" w:pos="1467" w:leader="none"/>
        </w:tabs>
        <w:outlineLvl w:val="0"/>
        <w:rPr/>
      </w:pPr>
      <w:r>
        <w:rPr/>
        <w:t>Terry M. Winter</w:t>
      </w:r>
    </w:p>
    <w:p>
      <w:pPr>
        <w:pStyle w:val="Normal"/>
        <w:numPr>
          <w:ilvl w:val="0"/>
          <w:numId w:val="0"/>
        </w:numPr>
        <w:tabs>
          <w:tab w:val="clear" w:pos="720"/>
          <w:tab w:val="left" w:pos="1467" w:leader="none"/>
        </w:tabs>
        <w:outlineLvl w:val="0"/>
        <w:rPr/>
      </w:pPr>
      <w:r>
        <w:rPr/>
      </w:r>
    </w:p>
    <w:p>
      <w:pPr>
        <w:pStyle w:val="Normal"/>
        <w:numPr>
          <w:ilvl w:val="0"/>
          <w:numId w:val="0"/>
        </w:numPr>
        <w:tabs>
          <w:tab w:val="clear" w:pos="720"/>
          <w:tab w:val="left" w:pos="1467" w:leader="none"/>
        </w:tabs>
        <w:ind w:firstLine="720" w:end="0"/>
        <w:outlineLvl w:val="0"/>
        <w:rPr/>
      </w:pPr>
      <w:r>
        <w:rPr/>
      </w:r>
    </w:p>
    <w:p>
      <w:pPr>
        <w:pStyle w:val="Normal"/>
        <w:numPr>
          <w:ilvl w:val="0"/>
          <w:numId w:val="0"/>
        </w:numPr>
        <w:tabs>
          <w:tab w:val="clear" w:pos="720"/>
          <w:tab w:val="left" w:pos="1467" w:leader="none"/>
        </w:tabs>
        <w:outlineLvl w:val="0"/>
        <w:rPr/>
      </w:pPr>
      <w:r>
        <w:rPr/>
        <w:t>TMW:gd</w:t>
      </w:r>
    </w:p>
    <w:p>
      <w:pPr>
        <w:pStyle w:val="Normal"/>
        <w:numPr>
          <w:ilvl w:val="0"/>
          <w:numId w:val="0"/>
        </w:numPr>
        <w:tabs>
          <w:tab w:val="clear" w:pos="720"/>
          <w:tab w:val="left" w:pos="1467" w:leader="none"/>
        </w:tabs>
        <w:ind w:firstLine="720" w:end="0"/>
        <w:outlineLvl w:val="0"/>
        <w:rPr/>
      </w:pPr>
      <w:r>
        <w:rPr/>
      </w:r>
    </w:p>
    <w:p>
      <w:pPr>
        <w:pStyle w:val="Normal"/>
        <w:numPr>
          <w:ilvl w:val="0"/>
          <w:numId w:val="0"/>
        </w:numPr>
        <w:tabs>
          <w:tab w:val="clear" w:pos="720"/>
          <w:tab w:val="left" w:pos="1467" w:leader="none"/>
        </w:tabs>
        <w:outlineLvl w:val="0"/>
        <w:rPr/>
      </w:pPr>
      <w:r>
        <w:rPr/>
        <w:t>Enclosures</w:t>
      </w:r>
    </w:p>
    <w:p>
      <w:pPr>
        <w:pStyle w:val="Normal"/>
        <w:rPr>
          <w:b/>
        </w:rPr>
      </w:pPr>
      <w:r>
        <w:rPr>
          <w:b/>
        </w:rPr>
        <w:br/>
      </w:r>
    </w:p>
    <w:p>
      <w:pPr>
        <w:pStyle w:val="Normal"/>
        <w:rPr>
          <w:b/>
        </w:rPr>
      </w:pPr>
      <w:r>
        <w:rPr>
          <w:b/>
        </w:rPr>
      </w:r>
    </w:p>
    <w:p>
      <w:pPr>
        <w:pStyle w:val="Normal"/>
        <w:rPr>
          <w:b/>
        </w:rPr>
      </w:pPr>
      <w:r>
        <w:rPr>
          <w:b/>
        </w:rPr>
      </w:r>
    </w:p>
    <w:p>
      <w:pPr>
        <w:pStyle w:val="Normal"/>
        <w:rPr>
          <w:b/>
        </w:rPr>
      </w:pPr>
      <w:r>
        <w:rPr>
          <w:b/>
        </w:rPr>
        <w:tab/>
      </w:r>
    </w:p>
    <w:sectPr>
      <w:headerReference w:type="default" r:id="rId4"/>
      <w:headerReference w:type="first" r:id="rId5"/>
      <w:footnotePr>
        <w:numFmt w:val="decimal"/>
      </w:footnotePr>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California Department of Water Resources, with respect to its responsibilities pursuant to California Water Code Section 80000 et. Seq., as amended, regarding the Department of Water Resources Electric Power Fund separate and apart from its powers and responsiblities with respect to the State Water Resources Development System.</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t>Mr. Jan Smutny-Jones</w:t>
    </w:r>
  </w:p>
  <w:p>
    <w:pPr>
      <w:pStyle w:val="Header"/>
      <w:rPr/>
    </w:pPr>
    <w:r>
      <w:rPr/>
      <w:t>August 17, 2001</w:t>
    </w:r>
  </w:p>
  <w:p>
    <w:pPr>
      <w:pStyle w:val="Header"/>
      <w:rPr/>
    </w:pPr>
    <w:r>
      <w:rPr/>
      <w:t>Page      of 4</w:t>
      <w:tab/>
    </w:r>
    <w:r>
      <mc:AlternateContent>
        <mc:Choice Requires="wps">
          <w:drawing>
            <wp:anchor behindDoc="0" distT="0" distB="0" distL="0" distR="0" simplePos="0" locked="0" layoutInCell="0" allowOverlap="1" relativeHeight="4">
              <wp:simplePos x="0" y="0"/>
              <wp:positionH relativeFrom="page">
                <wp:posOffset>1372235</wp:posOffset>
              </wp:positionH>
              <wp:positionV relativeFrom="paragraph">
                <wp:posOffset>12065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95pt;mso-position-vertical-relative:text;margin-left:108.05pt;mso-position-horizontal-relative:page">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Header"/>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432"/>
        </w:tabs>
        <w:ind w:start="432" w:hanging="432"/>
      </w:pPr>
      <w:rPr>
        <w:rFonts w:ascii="Symbol" w:hAnsi="Symbol" w:cs="Symbol" w:hint="default"/>
        <w:color w:val="auto"/>
      </w:rPr>
    </w:lvl>
  </w:abstractNum>
  <w:abstractNum w:abstractNumId="2">
    <w:lvl w:ilvl="0">
      <w:start w:val="1"/>
      <w:numFmt w:val="bullet"/>
      <w:lvlText w:val=""/>
      <w:lvlJc w:val="start"/>
      <w:pPr>
        <w:tabs>
          <w:tab w:val="num" w:pos="432"/>
        </w:tabs>
        <w:ind w:start="432" w:hanging="432"/>
      </w:pPr>
      <w:rPr>
        <w:rFonts w:ascii="Symbol" w:hAnsi="Symbol" w:cs="Symbol" w:hint="default"/>
        <w:color w:val="auto"/>
      </w:rPr>
    </w:lvl>
  </w:abstractNum>
  <w:abstractNum w:abstractNumId="3">
    <w:lvl w:ilvl="0">
      <w:start w:val="1"/>
      <w:numFmt w:val="decimal"/>
      <w:lvlText w:val="(%1)"/>
      <w:lvlJc w:val="start"/>
      <w:pPr>
        <w:tabs>
          <w:tab w:val="num" w:pos="1170"/>
        </w:tabs>
        <w:ind w:start="1170" w:hanging="39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Arial" w:hAnsi="Arial" w:eastAsia="Times New Roman" w:cs="Arial"/>
      <w:color w:val="auto"/>
      <w:sz w:val="24"/>
      <w:szCs w:val="20"/>
      <w:lang w:val="en-US" w:eastAsia="zh-CN" w:bidi="hi-IN"/>
    </w:rPr>
  </w:style>
  <w:style w:type="character" w:styleId="WW8Num1z0">
    <w:name w:val="WW8Num1z0"/>
    <w:qFormat/>
    <w:rPr>
      <w:rFonts w:ascii="Symbol" w:hAnsi="Symbol" w:cs="Symbol"/>
      <w:color w:val="auto"/>
    </w:rPr>
  </w:style>
  <w:style w:type="character" w:styleId="WW8Num3z0">
    <w:name w:val="WW8Num3z0"/>
    <w:qFormat/>
    <w:rPr>
      <w:rFonts w:ascii="Symbol" w:hAnsi="Symbol" w:cs="Symbol"/>
      <w:color w:val="auto"/>
    </w:rPr>
  </w:style>
  <w:style w:type="character" w:styleId="WW8Num4z0">
    <w:name w:val="WW8Num4z0"/>
    <w:qFormat/>
    <w:rPr>
      <w:rFonts w:ascii="Symbol" w:hAnsi="Symbol" w:cs="Symbol"/>
      <w:color w:val="auto"/>
    </w:rPr>
  </w:style>
  <w:style w:type="character" w:styleId="WW8Num5z0">
    <w:name w:val="WW8Num5z0"/>
    <w:qFormat/>
    <w:rPr>
      <w:rFonts w:ascii="Symbol" w:hAnsi="Symbol" w:cs="Symbol"/>
      <w:color w:val="auto"/>
    </w:rPr>
  </w:style>
  <w:style w:type="character" w:styleId="WW8Num6z0">
    <w:name w:val="WW8Num6z0"/>
    <w:qFormat/>
    <w:rPr>
      <w:rFonts w:ascii="Symbol" w:hAnsi="Symbol" w:cs="Symbol"/>
      <w:color w:val="auto"/>
    </w:rPr>
  </w:style>
  <w:style w:type="character" w:styleId="WW8Num7z0">
    <w:name w:val="WW8Num7z0"/>
    <w:qFormat/>
    <w:rPr>
      <w:rFonts w:ascii="Symbol" w:hAnsi="Symbol" w:cs="Symbol"/>
      <w:color w:val="auto"/>
    </w:rPr>
  </w:style>
  <w:style w:type="character" w:styleId="WW8Num8z0">
    <w:name w:val="WW8Num8z0"/>
    <w:qFormat/>
    <w:rPr>
      <w:rFonts w:ascii="Symbol" w:hAnsi="Symbol" w:cs="Symbol"/>
      <w:color w:val="auto"/>
    </w:rPr>
  </w:style>
  <w:style w:type="character" w:styleId="WW8Num9z0">
    <w:name w:val="WW8Num9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aiso.com/docs/09003a6080/09/d1/09003a608009d18a.pdf" TargetMode="External"/><Relationship Id="rId3" Type="http://schemas.openxmlformats.org/officeDocument/2006/relationships/hyperlink" Target="http://www.caiso.com/docs/09003a6080/09/d1/09003a608009d18d.pdf"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2001-08-17T20:47:00Z</dcterms:created>
  <dc:creator>BBurns</dc:creator>
  <dc:description/>
  <dc:language>en-CA</dc:language>
  <cp:lastModifiedBy>GDavis</cp:lastModifiedBy>
  <cp:lastPrinted>2001-08-17T15:54:00Z</cp:lastPrinted>
  <dcterms:modified xsi:type="dcterms:W3CDTF">2001-08-17T20:47:00Z</dcterms:modified>
  <cp:revision>2</cp:revision>
  <dc:subject/>
  <dc:title>August 17, 2001</dc:title>
</cp:coreProperties>
</file>