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6"/>
          <w:szCs w:val="26"/>
        </w:rPr>
      </w:pPr>
      <w:r>
        <w:rPr>
          <w:sz w:val="26"/>
          <w:szCs w:val="26"/>
        </w:rPr>
        <w:t>UNITED STATES OF AMERICA</w:t>
      </w:r>
    </w:p>
    <w:p>
      <w:pPr>
        <w:pStyle w:val="Normal"/>
        <w:jc w:val="center"/>
        <w:rPr>
          <w:sz w:val="26"/>
          <w:szCs w:val="26"/>
        </w:rPr>
      </w:pPr>
      <w:r>
        <w:rPr>
          <w:sz w:val="26"/>
          <w:szCs w:val="26"/>
        </w:rPr>
        <w:t>FEDERAL ENERGY REGULATORY COMMISSION</w:t>
      </w:r>
    </w:p>
    <w:p>
      <w:pPr>
        <w:pStyle w:val="Normal"/>
        <w:rPr>
          <w:sz w:val="26"/>
          <w:szCs w:val="26"/>
        </w:rPr>
      </w:pPr>
      <w:r>
        <w:rPr>
          <w:sz w:val="26"/>
          <w:szCs w:val="26"/>
        </w:rPr>
      </w:r>
    </w:p>
    <w:p>
      <w:pPr>
        <w:pStyle w:val="Normal"/>
        <w:tabs>
          <w:tab w:val="clear" w:pos="720"/>
          <w:tab w:val="left" w:pos="-1440" w:leader="none"/>
        </w:tabs>
        <w:ind w:hanging="5760" w:start="5760" w:end="0"/>
        <w:rPr>
          <w:sz w:val="26"/>
          <w:szCs w:val="26"/>
        </w:rPr>
      </w:pPr>
      <w:r>
        <w:rPr>
          <w:sz w:val="26"/>
          <w:szCs w:val="26"/>
        </w:rPr>
        <w:t>Electricity Market Design and Structure</w:t>
        <w:tab/>
        <w:tab/>
        <w:tab/>
        <w:t>Docket No. RM01-12-000</w:t>
      </w:r>
    </w:p>
    <w:p>
      <w:pPr>
        <w:pStyle w:val="Normal"/>
        <w:rPr>
          <w:sz w:val="26"/>
          <w:szCs w:val="26"/>
        </w:rPr>
      </w:pPr>
      <w:r>
        <w:rPr>
          <w:sz w:val="26"/>
          <w:szCs w:val="26"/>
        </w:rPr>
      </w:r>
    </w:p>
    <w:p>
      <w:pPr>
        <w:pStyle w:val="Normal"/>
        <w:keepNext w:val="true"/>
        <w:keepLines/>
        <w:tabs>
          <w:tab w:val="clear" w:pos="720"/>
          <w:tab w:val="left" w:pos="-1440" w:leader="none"/>
        </w:tabs>
        <w:ind w:hanging="5760" w:start="5760" w:end="0"/>
        <w:rPr>
          <w:sz w:val="26"/>
          <w:szCs w:val="26"/>
        </w:rPr>
      </w:pPr>
      <w:r>
        <w:rPr>
          <w:sz w:val="26"/>
          <w:szCs w:val="26"/>
        </w:rPr>
        <w:t>PJM Interconnection, L.L.C.</w:t>
        <w:tab/>
        <w:tab/>
        <w:tab/>
        <w:tab/>
        <w:t xml:space="preserve">Docket No. RT01-2-001 </w:t>
      </w:r>
    </w:p>
    <w:p>
      <w:pPr>
        <w:pStyle w:val="Normal"/>
        <w:keepNext w:val="true"/>
        <w:keepLines/>
        <w:rPr>
          <w:sz w:val="26"/>
          <w:szCs w:val="26"/>
        </w:rPr>
      </w:pPr>
      <w:r>
        <w:rPr>
          <w:sz w:val="26"/>
          <w:szCs w:val="26"/>
        </w:rPr>
        <w:t xml:space="preserve">Allegheny Electric Cooperative, Inc. </w:t>
      </w:r>
    </w:p>
    <w:p>
      <w:pPr>
        <w:pStyle w:val="Normal"/>
        <w:keepNext w:val="true"/>
        <w:keepLines/>
        <w:rPr>
          <w:sz w:val="26"/>
          <w:szCs w:val="26"/>
        </w:rPr>
      </w:pPr>
      <w:r>
        <w:rPr>
          <w:sz w:val="26"/>
          <w:szCs w:val="26"/>
        </w:rPr>
        <w:t xml:space="preserve">Atlantic City Electric Company </w:t>
      </w:r>
    </w:p>
    <w:p>
      <w:pPr>
        <w:pStyle w:val="Normal"/>
        <w:keepNext w:val="true"/>
        <w:keepLines/>
        <w:rPr>
          <w:sz w:val="26"/>
          <w:szCs w:val="26"/>
        </w:rPr>
      </w:pPr>
      <w:r>
        <w:rPr>
          <w:sz w:val="26"/>
          <w:szCs w:val="26"/>
        </w:rPr>
        <w:t>Baltimore Gas &amp; Electric Company</w:t>
      </w:r>
    </w:p>
    <w:p>
      <w:pPr>
        <w:pStyle w:val="Normal"/>
        <w:keepNext w:val="true"/>
        <w:keepLines/>
        <w:rPr>
          <w:sz w:val="26"/>
          <w:szCs w:val="26"/>
        </w:rPr>
      </w:pPr>
      <w:r>
        <w:rPr>
          <w:sz w:val="26"/>
          <w:szCs w:val="26"/>
        </w:rPr>
        <w:t>Delmarva Power &amp; Light Company</w:t>
      </w:r>
    </w:p>
    <w:p>
      <w:pPr>
        <w:pStyle w:val="Normal"/>
        <w:keepNext w:val="true"/>
        <w:keepLines/>
        <w:rPr>
          <w:sz w:val="26"/>
          <w:szCs w:val="26"/>
        </w:rPr>
      </w:pPr>
      <w:r>
        <w:rPr>
          <w:sz w:val="26"/>
          <w:szCs w:val="26"/>
        </w:rPr>
        <w:t>Jersey Central Power &amp; Light Company</w:t>
      </w:r>
    </w:p>
    <w:p>
      <w:pPr>
        <w:pStyle w:val="Normal"/>
        <w:keepNext w:val="true"/>
        <w:keepLines/>
        <w:rPr>
          <w:sz w:val="26"/>
          <w:szCs w:val="26"/>
        </w:rPr>
      </w:pPr>
      <w:r>
        <w:rPr>
          <w:sz w:val="26"/>
          <w:szCs w:val="26"/>
        </w:rPr>
        <w:t>Metropolitan Edison Company</w:t>
      </w:r>
    </w:p>
    <w:p>
      <w:pPr>
        <w:pStyle w:val="Normal"/>
        <w:keepNext w:val="true"/>
        <w:keepLines/>
        <w:rPr>
          <w:sz w:val="26"/>
          <w:szCs w:val="26"/>
        </w:rPr>
      </w:pPr>
      <w:r>
        <w:rPr>
          <w:sz w:val="26"/>
          <w:szCs w:val="26"/>
        </w:rPr>
        <w:t>PECO Energy Company</w:t>
      </w:r>
    </w:p>
    <w:p>
      <w:pPr>
        <w:pStyle w:val="Normal"/>
        <w:keepNext w:val="true"/>
        <w:keepLines/>
        <w:rPr>
          <w:sz w:val="26"/>
          <w:szCs w:val="26"/>
        </w:rPr>
      </w:pPr>
      <w:r>
        <w:rPr>
          <w:sz w:val="26"/>
          <w:szCs w:val="26"/>
        </w:rPr>
        <w:t>Pennsylvania Electric Company</w:t>
      </w:r>
    </w:p>
    <w:p>
      <w:pPr>
        <w:pStyle w:val="Normal"/>
        <w:keepNext w:val="true"/>
        <w:keepLines/>
        <w:rPr>
          <w:sz w:val="26"/>
          <w:szCs w:val="26"/>
        </w:rPr>
      </w:pPr>
      <w:r>
        <w:rPr>
          <w:sz w:val="26"/>
          <w:szCs w:val="26"/>
        </w:rPr>
        <w:t>PPL Electric Utilities Corporation</w:t>
      </w:r>
    </w:p>
    <w:p>
      <w:pPr>
        <w:pStyle w:val="Normal"/>
        <w:keepNext w:val="true"/>
        <w:keepLines/>
        <w:rPr>
          <w:sz w:val="26"/>
          <w:szCs w:val="26"/>
        </w:rPr>
      </w:pPr>
      <w:r>
        <w:rPr>
          <w:sz w:val="26"/>
          <w:szCs w:val="26"/>
        </w:rPr>
        <w:t>Potomac Electric Power Company</w:t>
      </w:r>
    </w:p>
    <w:p>
      <w:pPr>
        <w:pStyle w:val="Normal"/>
        <w:keepNext w:val="true"/>
        <w:keepLines/>
        <w:rPr>
          <w:sz w:val="26"/>
          <w:szCs w:val="26"/>
        </w:rPr>
      </w:pPr>
      <w:r>
        <w:rPr>
          <w:sz w:val="26"/>
          <w:szCs w:val="26"/>
        </w:rPr>
        <w:t>Public Service Electric &amp; Gas Company</w:t>
      </w:r>
    </w:p>
    <w:p>
      <w:pPr>
        <w:pStyle w:val="Normal"/>
        <w:keepLines/>
        <w:rPr>
          <w:sz w:val="26"/>
          <w:szCs w:val="26"/>
        </w:rPr>
      </w:pPr>
      <w:r>
        <w:rPr>
          <w:sz w:val="26"/>
          <w:szCs w:val="26"/>
        </w:rPr>
        <w:t>UGI Utilities Inc.</w:t>
      </w:r>
    </w:p>
    <w:p>
      <w:pPr>
        <w:pStyle w:val="Normal"/>
        <w:rPr>
          <w:sz w:val="26"/>
          <w:szCs w:val="26"/>
        </w:rPr>
      </w:pPr>
      <w:r>
        <w:rPr>
          <w:sz w:val="26"/>
          <w:szCs w:val="26"/>
        </w:rPr>
      </w:r>
    </w:p>
    <w:p>
      <w:pPr>
        <w:pStyle w:val="Normal"/>
        <w:tabs>
          <w:tab w:val="clear" w:pos="720"/>
          <w:tab w:val="left" w:pos="-1440" w:leader="none"/>
        </w:tabs>
        <w:ind w:hanging="5760" w:start="5760" w:end="0"/>
        <w:rPr>
          <w:sz w:val="26"/>
          <w:szCs w:val="26"/>
        </w:rPr>
      </w:pPr>
      <w:r>
        <w:rPr>
          <w:sz w:val="26"/>
          <w:szCs w:val="26"/>
        </w:rPr>
        <w:t>Allegheny Power</w:t>
        <w:tab/>
        <w:tab/>
        <w:tab/>
        <w:tab/>
        <w:tab/>
        <w:tab/>
        <w:t>Docket No. RT01-10-000</w:t>
      </w:r>
    </w:p>
    <w:p>
      <w:pPr>
        <w:pStyle w:val="Normal"/>
        <w:rPr>
          <w:sz w:val="26"/>
          <w:szCs w:val="26"/>
        </w:rPr>
      </w:pPr>
      <w:r>
        <w:rPr>
          <w:sz w:val="26"/>
          <w:szCs w:val="26"/>
        </w:rPr>
      </w:r>
    </w:p>
    <w:p>
      <w:pPr>
        <w:pStyle w:val="Normal"/>
        <w:keepNext w:val="true"/>
        <w:keepLines/>
        <w:tabs>
          <w:tab w:val="clear" w:pos="720"/>
          <w:tab w:val="left" w:pos="-1440" w:leader="none"/>
        </w:tabs>
        <w:ind w:hanging="5760" w:start="5760" w:end="0"/>
        <w:rPr>
          <w:sz w:val="26"/>
          <w:szCs w:val="26"/>
        </w:rPr>
      </w:pPr>
      <w:r>
        <w:rPr>
          <w:sz w:val="26"/>
          <w:szCs w:val="26"/>
        </w:rPr>
        <w:t>Avista Corporation</w:t>
        <w:tab/>
        <w:tab/>
        <w:tab/>
        <w:tab/>
        <w:tab/>
        <w:tab/>
        <w:t>Docket No. RT01-15-000</w:t>
      </w:r>
    </w:p>
    <w:p>
      <w:pPr>
        <w:pStyle w:val="Normal"/>
        <w:keepNext w:val="true"/>
        <w:keepLines/>
        <w:rPr>
          <w:sz w:val="26"/>
          <w:szCs w:val="26"/>
        </w:rPr>
      </w:pPr>
      <w:r>
        <w:rPr>
          <w:sz w:val="26"/>
          <w:szCs w:val="26"/>
        </w:rPr>
        <w:t>Montana Power Company</w:t>
      </w:r>
    </w:p>
    <w:p>
      <w:pPr>
        <w:pStyle w:val="Normal"/>
        <w:keepNext w:val="true"/>
        <w:keepLines/>
        <w:rPr>
          <w:sz w:val="26"/>
          <w:szCs w:val="26"/>
        </w:rPr>
      </w:pPr>
      <w:r>
        <w:rPr>
          <w:sz w:val="26"/>
          <w:szCs w:val="26"/>
        </w:rPr>
        <w:t>Nevada Power Company</w:t>
      </w:r>
    </w:p>
    <w:p>
      <w:pPr>
        <w:pStyle w:val="Normal"/>
        <w:keepNext w:val="true"/>
        <w:keepLines/>
        <w:rPr>
          <w:sz w:val="26"/>
          <w:szCs w:val="26"/>
        </w:rPr>
      </w:pPr>
      <w:r>
        <w:rPr>
          <w:sz w:val="26"/>
          <w:szCs w:val="26"/>
        </w:rPr>
        <w:t>Portland General Electric Company</w:t>
      </w:r>
    </w:p>
    <w:p>
      <w:pPr>
        <w:pStyle w:val="Normal"/>
        <w:keepNext w:val="true"/>
        <w:keepLines/>
        <w:rPr>
          <w:sz w:val="26"/>
          <w:szCs w:val="26"/>
        </w:rPr>
      </w:pPr>
      <w:r>
        <w:rPr>
          <w:sz w:val="26"/>
          <w:szCs w:val="26"/>
        </w:rPr>
        <w:t>Puget Sound Energy, Inc.</w:t>
      </w:r>
    </w:p>
    <w:p>
      <w:pPr>
        <w:pStyle w:val="Normal"/>
        <w:keepLines/>
        <w:rPr>
          <w:sz w:val="26"/>
          <w:szCs w:val="26"/>
        </w:rPr>
      </w:pPr>
      <w:r>
        <w:rPr>
          <w:sz w:val="26"/>
          <w:szCs w:val="26"/>
        </w:rPr>
        <w:t>Sierra Pacific Power Company</w:t>
      </w:r>
    </w:p>
    <w:p>
      <w:pPr>
        <w:pStyle w:val="Normal"/>
        <w:rPr>
          <w:sz w:val="26"/>
          <w:szCs w:val="26"/>
        </w:rPr>
      </w:pPr>
      <w:r>
        <w:rPr>
          <w:sz w:val="26"/>
          <w:szCs w:val="26"/>
        </w:rPr>
      </w:r>
    </w:p>
    <w:p>
      <w:pPr>
        <w:pStyle w:val="Normal"/>
        <w:tabs>
          <w:tab w:val="clear" w:pos="720"/>
          <w:tab w:val="left" w:pos="-1440" w:leader="none"/>
        </w:tabs>
        <w:ind w:hanging="5760" w:start="5760" w:end="0"/>
        <w:rPr>
          <w:sz w:val="26"/>
          <w:szCs w:val="26"/>
        </w:rPr>
      </w:pPr>
      <w:r>
        <w:rPr>
          <w:sz w:val="26"/>
          <w:szCs w:val="26"/>
        </w:rPr>
        <w:t>Southwest Power Pool, Inc.</w:t>
        <w:tab/>
        <w:tab/>
        <w:tab/>
        <w:tab/>
        <w:t>Docket No. RT01-34-000</w:t>
      </w:r>
    </w:p>
    <w:p>
      <w:pPr>
        <w:pStyle w:val="Normal"/>
        <w:rPr>
          <w:sz w:val="26"/>
          <w:szCs w:val="26"/>
        </w:rPr>
      </w:pPr>
      <w:r>
        <w:rPr>
          <w:sz w:val="26"/>
          <w:szCs w:val="26"/>
        </w:rPr>
      </w:r>
    </w:p>
    <w:p>
      <w:pPr>
        <w:pStyle w:val="Normal"/>
        <w:keepNext w:val="true"/>
        <w:keepLines/>
        <w:tabs>
          <w:tab w:val="clear" w:pos="720"/>
          <w:tab w:val="left" w:pos="-1440" w:leader="none"/>
        </w:tabs>
        <w:ind w:hanging="5760" w:start="5760" w:end="0"/>
        <w:rPr>
          <w:sz w:val="26"/>
          <w:szCs w:val="26"/>
        </w:rPr>
      </w:pPr>
      <w:r>
        <w:rPr>
          <w:sz w:val="26"/>
          <w:szCs w:val="26"/>
        </w:rPr>
        <w:t>Avista Corporation</w:t>
        <w:tab/>
        <w:tab/>
        <w:tab/>
        <w:tab/>
        <w:tab/>
        <w:tab/>
        <w:t>Docket No. RT01-35-000</w:t>
      </w:r>
    </w:p>
    <w:p>
      <w:pPr>
        <w:pStyle w:val="Normal"/>
        <w:keepNext w:val="true"/>
        <w:keepLines/>
        <w:rPr>
          <w:sz w:val="26"/>
          <w:szCs w:val="26"/>
        </w:rPr>
      </w:pPr>
      <w:r>
        <w:rPr>
          <w:sz w:val="26"/>
          <w:szCs w:val="26"/>
        </w:rPr>
        <w:t>Bonneville Power Administration</w:t>
      </w:r>
    </w:p>
    <w:p>
      <w:pPr>
        <w:pStyle w:val="Normal"/>
        <w:keepNext w:val="true"/>
        <w:keepLines/>
        <w:rPr>
          <w:sz w:val="26"/>
          <w:szCs w:val="26"/>
        </w:rPr>
      </w:pPr>
      <w:r>
        <w:rPr>
          <w:sz w:val="26"/>
          <w:szCs w:val="26"/>
        </w:rPr>
        <w:t>Idaho Power Company</w:t>
      </w:r>
    </w:p>
    <w:p>
      <w:pPr>
        <w:pStyle w:val="Normal"/>
        <w:keepNext w:val="true"/>
        <w:keepLines/>
        <w:rPr>
          <w:sz w:val="26"/>
          <w:szCs w:val="26"/>
        </w:rPr>
      </w:pPr>
      <w:r>
        <w:rPr>
          <w:sz w:val="26"/>
          <w:szCs w:val="26"/>
        </w:rPr>
        <w:t>Montana Power Company</w:t>
      </w:r>
    </w:p>
    <w:p>
      <w:pPr>
        <w:pStyle w:val="Normal"/>
        <w:keepNext w:val="true"/>
        <w:keepLines/>
        <w:rPr>
          <w:sz w:val="26"/>
          <w:szCs w:val="26"/>
        </w:rPr>
      </w:pPr>
      <w:r>
        <w:rPr>
          <w:sz w:val="26"/>
          <w:szCs w:val="26"/>
        </w:rPr>
        <w:t>Nevada Power Company</w:t>
      </w:r>
    </w:p>
    <w:p>
      <w:pPr>
        <w:pStyle w:val="Normal"/>
        <w:keepNext w:val="true"/>
        <w:keepLines/>
        <w:rPr>
          <w:sz w:val="26"/>
          <w:szCs w:val="26"/>
        </w:rPr>
      </w:pPr>
      <w:r>
        <w:rPr>
          <w:sz w:val="26"/>
          <w:szCs w:val="26"/>
        </w:rPr>
        <w:t>PacifiCorp</w:t>
      </w:r>
    </w:p>
    <w:p>
      <w:pPr>
        <w:pStyle w:val="Normal"/>
        <w:keepNext w:val="true"/>
        <w:keepLines/>
        <w:rPr>
          <w:sz w:val="26"/>
          <w:szCs w:val="26"/>
        </w:rPr>
      </w:pPr>
      <w:r>
        <w:rPr>
          <w:sz w:val="26"/>
          <w:szCs w:val="26"/>
        </w:rPr>
        <w:t>Portland General Electric Company</w:t>
      </w:r>
    </w:p>
    <w:p>
      <w:pPr>
        <w:pStyle w:val="Normal"/>
        <w:keepNext w:val="true"/>
        <w:keepLines/>
        <w:rPr>
          <w:sz w:val="26"/>
          <w:szCs w:val="26"/>
        </w:rPr>
      </w:pPr>
      <w:r>
        <w:rPr>
          <w:sz w:val="26"/>
          <w:szCs w:val="26"/>
        </w:rPr>
        <w:t>Puget Sound Energy, Inc.</w:t>
      </w:r>
    </w:p>
    <w:p>
      <w:pPr>
        <w:pStyle w:val="Normal"/>
        <w:keepLines/>
        <w:rPr>
          <w:sz w:val="26"/>
          <w:szCs w:val="26"/>
        </w:rPr>
      </w:pPr>
      <w:r>
        <w:rPr>
          <w:sz w:val="26"/>
          <w:szCs w:val="26"/>
        </w:rPr>
        <w:t>Sierra Pacific Power Company</w:t>
      </w:r>
    </w:p>
    <w:p>
      <w:pPr>
        <w:pStyle w:val="Normal"/>
        <w:rPr>
          <w:sz w:val="26"/>
          <w:szCs w:val="26"/>
        </w:rPr>
      </w:pPr>
      <w:r>
        <w:rPr>
          <w:sz w:val="26"/>
          <w:szCs w:val="26"/>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keepNext w:val="true"/>
        <w:keepLines/>
        <w:tabs>
          <w:tab w:val="clear" w:pos="720"/>
          <w:tab w:val="left" w:pos="-1440" w:leader="none"/>
        </w:tabs>
        <w:ind w:hanging="5760" w:start="5760" w:end="0"/>
        <w:rPr>
          <w:sz w:val="26"/>
          <w:szCs w:val="26"/>
        </w:rPr>
      </w:pPr>
      <w:r>
        <w:rPr>
          <w:sz w:val="26"/>
          <w:szCs w:val="26"/>
        </w:rPr>
        <w:t>GridFlorida LLC</w:t>
        <w:tab/>
        <w:tab/>
        <w:tab/>
        <w:tab/>
        <w:tab/>
        <w:tab/>
        <w:t>Docket No. RT01-67-000</w:t>
      </w:r>
    </w:p>
    <w:p>
      <w:pPr>
        <w:pStyle w:val="Normal"/>
        <w:keepNext w:val="true"/>
        <w:keepLines/>
        <w:rPr>
          <w:sz w:val="26"/>
          <w:szCs w:val="26"/>
        </w:rPr>
      </w:pPr>
      <w:r>
        <w:rPr>
          <w:sz w:val="26"/>
          <w:szCs w:val="26"/>
        </w:rPr>
        <w:t>Florida Power &amp; Light Company</w:t>
      </w:r>
    </w:p>
    <w:p>
      <w:pPr>
        <w:pStyle w:val="Normal"/>
        <w:keepNext w:val="true"/>
        <w:keepLines/>
        <w:rPr>
          <w:sz w:val="26"/>
          <w:szCs w:val="26"/>
        </w:rPr>
      </w:pPr>
      <w:r>
        <w:rPr>
          <w:sz w:val="26"/>
          <w:szCs w:val="26"/>
        </w:rPr>
        <w:t>Florida Power Corporation</w:t>
      </w:r>
    </w:p>
    <w:p>
      <w:pPr>
        <w:pStyle w:val="Normal"/>
        <w:keepLines/>
        <w:rPr>
          <w:sz w:val="26"/>
          <w:szCs w:val="26"/>
        </w:rPr>
      </w:pPr>
      <w:r>
        <w:rPr>
          <w:sz w:val="26"/>
          <w:szCs w:val="26"/>
        </w:rPr>
        <w:t>Tampa Electric Company</w:t>
      </w:r>
    </w:p>
    <w:p>
      <w:pPr>
        <w:pStyle w:val="Normal"/>
        <w:rPr>
          <w:sz w:val="26"/>
          <w:szCs w:val="26"/>
        </w:rPr>
      </w:pPr>
      <w:r>
        <w:rPr>
          <w:sz w:val="26"/>
          <w:szCs w:val="26"/>
        </w:rPr>
      </w:r>
    </w:p>
    <w:p>
      <w:pPr>
        <w:pStyle w:val="Normal"/>
        <w:keepNext w:val="true"/>
        <w:keepLines/>
        <w:tabs>
          <w:tab w:val="clear" w:pos="720"/>
          <w:tab w:val="left" w:pos="-1440" w:leader="none"/>
        </w:tabs>
        <w:ind w:hanging="5760" w:start="5760" w:end="0"/>
        <w:rPr>
          <w:sz w:val="26"/>
          <w:szCs w:val="26"/>
        </w:rPr>
      </w:pPr>
      <w:r>
        <w:rPr>
          <w:sz w:val="26"/>
          <w:szCs w:val="26"/>
        </w:rPr>
        <w:t>Carolina Power &amp; Light Company</w:t>
        <w:tab/>
        <w:tab/>
        <w:tab/>
        <w:t>Docket No. RT01-74-000</w:t>
      </w:r>
    </w:p>
    <w:p>
      <w:pPr>
        <w:pStyle w:val="Normal"/>
        <w:keepNext w:val="true"/>
        <w:keepLines/>
        <w:rPr>
          <w:sz w:val="26"/>
          <w:szCs w:val="26"/>
        </w:rPr>
      </w:pPr>
      <w:r>
        <w:rPr>
          <w:sz w:val="26"/>
          <w:szCs w:val="26"/>
        </w:rPr>
        <w:t>Duke Energy Corporation</w:t>
      </w:r>
    </w:p>
    <w:p>
      <w:pPr>
        <w:pStyle w:val="Normal"/>
        <w:keepNext w:val="true"/>
        <w:keepLines/>
        <w:rPr>
          <w:sz w:val="26"/>
          <w:szCs w:val="26"/>
        </w:rPr>
      </w:pPr>
      <w:r>
        <w:rPr>
          <w:sz w:val="26"/>
          <w:szCs w:val="26"/>
        </w:rPr>
        <w:t>South Carolina Electric &amp; Gas Company</w:t>
      </w:r>
    </w:p>
    <w:p>
      <w:pPr>
        <w:pStyle w:val="Normal"/>
        <w:keepLines/>
        <w:rPr>
          <w:sz w:val="26"/>
          <w:szCs w:val="26"/>
        </w:rPr>
      </w:pPr>
      <w:r>
        <w:rPr>
          <w:sz w:val="26"/>
          <w:szCs w:val="26"/>
        </w:rPr>
        <w:t>GridSouth Transco, LLC</w:t>
      </w:r>
    </w:p>
    <w:p>
      <w:pPr>
        <w:pStyle w:val="Normal"/>
        <w:rPr>
          <w:sz w:val="26"/>
          <w:szCs w:val="26"/>
        </w:rPr>
      </w:pPr>
      <w:r>
        <w:rPr>
          <w:sz w:val="26"/>
          <w:szCs w:val="26"/>
        </w:rPr>
      </w:r>
    </w:p>
    <w:p>
      <w:pPr>
        <w:pStyle w:val="Normal"/>
        <w:tabs>
          <w:tab w:val="clear" w:pos="720"/>
          <w:tab w:val="left" w:pos="-1440" w:leader="none"/>
        </w:tabs>
        <w:ind w:hanging="5760" w:start="5760" w:end="0"/>
        <w:rPr>
          <w:sz w:val="26"/>
          <w:szCs w:val="26"/>
        </w:rPr>
      </w:pPr>
      <w:r>
        <w:rPr>
          <w:sz w:val="26"/>
          <w:szCs w:val="26"/>
        </w:rPr>
        <w:t>Entergy Services, Inc.</w:t>
        <w:tab/>
        <w:tab/>
        <w:tab/>
        <w:tab/>
        <w:tab/>
        <w:t>Docket No. RT01-75-000</w:t>
      </w:r>
    </w:p>
    <w:p>
      <w:pPr>
        <w:pStyle w:val="Normal"/>
        <w:rPr>
          <w:sz w:val="26"/>
          <w:szCs w:val="26"/>
        </w:rPr>
      </w:pPr>
      <w:r>
        <w:rPr>
          <w:sz w:val="26"/>
          <w:szCs w:val="26"/>
        </w:rPr>
      </w:r>
    </w:p>
    <w:p>
      <w:pPr>
        <w:pStyle w:val="Normal"/>
        <w:tabs>
          <w:tab w:val="clear" w:pos="720"/>
          <w:tab w:val="left" w:pos="-1440" w:leader="none"/>
        </w:tabs>
        <w:ind w:hanging="5760" w:start="5760" w:end="0"/>
        <w:rPr>
          <w:sz w:val="26"/>
          <w:szCs w:val="26"/>
        </w:rPr>
      </w:pPr>
      <w:r>
        <w:rPr>
          <w:sz w:val="26"/>
          <w:szCs w:val="26"/>
        </w:rPr>
        <w:t>Southern Company Services, Inc.</w:t>
        <w:tab/>
        <w:tab/>
        <w:tab/>
        <w:tab/>
        <w:t>Docket No. RT01-77-000</w:t>
      </w:r>
    </w:p>
    <w:p>
      <w:pPr>
        <w:pStyle w:val="Normal"/>
        <w:rPr>
          <w:sz w:val="26"/>
          <w:szCs w:val="26"/>
        </w:rPr>
      </w:pPr>
      <w:r>
        <w:rPr>
          <w:sz w:val="26"/>
          <w:szCs w:val="26"/>
        </w:rPr>
      </w:r>
    </w:p>
    <w:p>
      <w:pPr>
        <w:pStyle w:val="Normal"/>
        <w:keepNext w:val="true"/>
        <w:keepLines/>
        <w:tabs>
          <w:tab w:val="clear" w:pos="720"/>
          <w:tab w:val="left" w:pos="-1440" w:leader="none"/>
        </w:tabs>
        <w:ind w:hanging="5760" w:start="5760" w:end="0"/>
        <w:rPr>
          <w:sz w:val="26"/>
          <w:szCs w:val="26"/>
        </w:rPr>
      </w:pPr>
      <w:r>
        <w:rPr>
          <w:sz w:val="26"/>
          <w:szCs w:val="26"/>
        </w:rPr>
        <w:t xml:space="preserve">California Independent System Operator </w:t>
        <w:tab/>
        <w:tab/>
        <w:t>Docket No. RT01-85-000</w:t>
      </w:r>
    </w:p>
    <w:p>
      <w:pPr>
        <w:pStyle w:val="Normal"/>
        <w:keepLines/>
        <w:ind w:firstLine="720" w:end="0"/>
        <w:rPr>
          <w:sz w:val="26"/>
          <w:szCs w:val="26"/>
        </w:rPr>
      </w:pPr>
      <w:r>
        <w:rPr>
          <w:sz w:val="26"/>
          <w:szCs w:val="26"/>
        </w:rPr>
        <w:t>Corporation</w:t>
      </w:r>
    </w:p>
    <w:p>
      <w:pPr>
        <w:pStyle w:val="Normal"/>
        <w:rPr>
          <w:sz w:val="26"/>
          <w:szCs w:val="26"/>
        </w:rPr>
      </w:pPr>
      <w:r>
        <w:rPr>
          <w:sz w:val="26"/>
          <w:szCs w:val="26"/>
        </w:rPr>
      </w:r>
    </w:p>
    <w:p>
      <w:pPr>
        <w:pStyle w:val="Normal"/>
        <w:keepNext w:val="true"/>
        <w:keepLines/>
        <w:tabs>
          <w:tab w:val="clear" w:pos="720"/>
          <w:tab w:val="left" w:pos="-1440" w:leader="none"/>
        </w:tabs>
        <w:ind w:hanging="5040" w:start="5040" w:end="0"/>
        <w:rPr>
          <w:sz w:val="26"/>
          <w:szCs w:val="26"/>
        </w:rPr>
      </w:pPr>
      <w:r>
        <w:rPr>
          <w:sz w:val="26"/>
          <w:szCs w:val="26"/>
        </w:rPr>
        <w:t>Bangor Hydro-Electric Company</w:t>
        <w:tab/>
        <w:tab/>
        <w:tab/>
        <w:tab/>
        <w:t>Docket No. RT01-86-000</w:t>
      </w:r>
    </w:p>
    <w:p>
      <w:pPr>
        <w:pStyle w:val="Normal"/>
        <w:keepNext w:val="true"/>
        <w:keepLines/>
        <w:rPr>
          <w:sz w:val="26"/>
          <w:szCs w:val="26"/>
        </w:rPr>
      </w:pPr>
      <w:r>
        <w:rPr>
          <w:sz w:val="26"/>
          <w:szCs w:val="26"/>
        </w:rPr>
        <w:t>Central Maine Power Company</w:t>
      </w:r>
    </w:p>
    <w:p>
      <w:pPr>
        <w:pStyle w:val="Normal"/>
        <w:keepNext w:val="true"/>
        <w:keepLines/>
        <w:rPr>
          <w:sz w:val="26"/>
          <w:szCs w:val="26"/>
        </w:rPr>
      </w:pPr>
      <w:r>
        <w:rPr>
          <w:sz w:val="26"/>
          <w:szCs w:val="26"/>
        </w:rPr>
        <w:t>National Grid USA</w:t>
      </w:r>
    </w:p>
    <w:p>
      <w:pPr>
        <w:pStyle w:val="Normal"/>
        <w:keepNext w:val="true"/>
        <w:keepLines/>
        <w:rPr>
          <w:sz w:val="26"/>
          <w:szCs w:val="26"/>
        </w:rPr>
      </w:pPr>
      <w:r>
        <w:rPr>
          <w:sz w:val="26"/>
          <w:szCs w:val="26"/>
        </w:rPr>
        <w:t>Northeast Utilities Service Company</w:t>
      </w:r>
    </w:p>
    <w:p>
      <w:pPr>
        <w:pStyle w:val="Normal"/>
        <w:keepNext w:val="true"/>
        <w:keepLines/>
        <w:rPr>
          <w:sz w:val="26"/>
          <w:szCs w:val="26"/>
        </w:rPr>
      </w:pPr>
      <w:r>
        <w:rPr>
          <w:sz w:val="26"/>
          <w:szCs w:val="26"/>
        </w:rPr>
        <w:t>The United Illuminating Company</w:t>
      </w:r>
    </w:p>
    <w:p>
      <w:pPr>
        <w:pStyle w:val="Normal"/>
        <w:keepNext w:val="true"/>
        <w:keepLines/>
        <w:rPr>
          <w:sz w:val="26"/>
          <w:szCs w:val="26"/>
        </w:rPr>
      </w:pPr>
      <w:r>
        <w:rPr>
          <w:sz w:val="26"/>
          <w:szCs w:val="26"/>
        </w:rPr>
        <w:t>Vermont Electric Power Company</w:t>
      </w:r>
    </w:p>
    <w:p>
      <w:pPr>
        <w:pStyle w:val="Normal"/>
        <w:keepLines/>
        <w:rPr>
          <w:sz w:val="26"/>
          <w:szCs w:val="26"/>
        </w:rPr>
      </w:pPr>
      <w:r>
        <w:rPr>
          <w:sz w:val="26"/>
          <w:szCs w:val="26"/>
        </w:rPr>
        <w:t>ISO New England Inc.</w:t>
      </w:r>
    </w:p>
    <w:p>
      <w:pPr>
        <w:pStyle w:val="Normal"/>
        <w:rPr>
          <w:sz w:val="26"/>
          <w:szCs w:val="26"/>
        </w:rPr>
      </w:pPr>
      <w:r>
        <w:rPr>
          <w:sz w:val="26"/>
          <w:szCs w:val="26"/>
        </w:rPr>
      </w:r>
    </w:p>
    <w:p>
      <w:pPr>
        <w:pStyle w:val="Normal"/>
        <w:tabs>
          <w:tab w:val="clear" w:pos="720"/>
          <w:tab w:val="left" w:pos="-1440" w:leader="none"/>
        </w:tabs>
        <w:ind w:hanging="5760" w:start="5760" w:end="0"/>
        <w:rPr>
          <w:sz w:val="26"/>
          <w:szCs w:val="26"/>
        </w:rPr>
      </w:pPr>
      <w:r>
        <w:rPr>
          <w:sz w:val="26"/>
          <w:szCs w:val="26"/>
        </w:rPr>
        <w:t>Midwest Independent System Operator</w:t>
        <w:tab/>
        <w:tab/>
        <w:tab/>
        <w:t>Docket No. RT01-87-000</w:t>
      </w:r>
    </w:p>
    <w:p>
      <w:pPr>
        <w:pStyle w:val="Normal"/>
        <w:rPr>
          <w:sz w:val="26"/>
          <w:szCs w:val="26"/>
        </w:rPr>
      </w:pPr>
      <w:r>
        <w:rPr>
          <w:sz w:val="26"/>
          <w:szCs w:val="26"/>
        </w:rPr>
      </w:r>
    </w:p>
    <w:p>
      <w:pPr>
        <w:pStyle w:val="Normal"/>
        <w:tabs>
          <w:tab w:val="clear" w:pos="720"/>
          <w:tab w:val="left" w:pos="-1440" w:leader="none"/>
        </w:tabs>
        <w:ind w:hanging="5760" w:start="5760" w:end="0"/>
        <w:rPr>
          <w:sz w:val="26"/>
          <w:szCs w:val="26"/>
        </w:rPr>
      </w:pPr>
      <w:r>
        <w:rPr>
          <w:sz w:val="26"/>
          <w:szCs w:val="26"/>
        </w:rPr>
        <w:t>Alliance Companies</w:t>
        <w:tab/>
        <w:tab/>
        <w:tab/>
        <w:tab/>
        <w:tab/>
        <w:t>Docket No. RT01-88-000</w:t>
      </w:r>
    </w:p>
    <w:p>
      <w:pPr>
        <w:pStyle w:val="Normal"/>
        <w:rPr>
          <w:sz w:val="26"/>
          <w:szCs w:val="26"/>
        </w:rPr>
      </w:pPr>
      <w:r>
        <w:rPr>
          <w:sz w:val="26"/>
          <w:szCs w:val="26"/>
        </w:rPr>
      </w:r>
    </w:p>
    <w:p>
      <w:pPr>
        <w:pStyle w:val="Normal"/>
        <w:tabs>
          <w:tab w:val="clear" w:pos="720"/>
          <w:tab w:val="left" w:pos="-1440" w:leader="none"/>
        </w:tabs>
        <w:ind w:hanging="5760" w:start="5760" w:end="0"/>
        <w:rPr>
          <w:sz w:val="26"/>
          <w:szCs w:val="26"/>
        </w:rPr>
      </w:pPr>
      <w:r>
        <w:rPr>
          <w:sz w:val="26"/>
          <w:szCs w:val="26"/>
        </w:rPr>
        <w:t>NSTAR Services Company</w:t>
        <w:tab/>
        <w:tab/>
        <w:tab/>
        <w:tab/>
        <w:t>Docket No. RT01-94-000</w:t>
      </w:r>
    </w:p>
    <w:p>
      <w:pPr>
        <w:pStyle w:val="Normal"/>
        <w:rPr>
          <w:sz w:val="26"/>
          <w:szCs w:val="26"/>
        </w:rPr>
      </w:pPr>
      <w:r>
        <w:rPr>
          <w:sz w:val="26"/>
          <w:szCs w:val="26"/>
        </w:rPr>
      </w:r>
    </w:p>
    <w:p>
      <w:pPr>
        <w:pStyle w:val="Normal"/>
        <w:keepNext w:val="true"/>
        <w:keepLines/>
        <w:tabs>
          <w:tab w:val="clear" w:pos="720"/>
          <w:tab w:val="left" w:pos="-1440" w:leader="none"/>
        </w:tabs>
        <w:ind w:hanging="5760" w:start="5760" w:end="0"/>
        <w:rPr>
          <w:sz w:val="26"/>
          <w:szCs w:val="26"/>
        </w:rPr>
      </w:pPr>
      <w:r>
        <w:rPr>
          <w:sz w:val="26"/>
          <w:szCs w:val="26"/>
        </w:rPr>
        <w:t xml:space="preserve">New York Independent System Operator, Inc. </w:t>
        <w:tab/>
        <w:tab/>
        <w:t>Docket No. RT01-95-000</w:t>
      </w:r>
    </w:p>
    <w:p>
      <w:pPr>
        <w:pStyle w:val="Normal"/>
        <w:keepNext w:val="true"/>
        <w:keepLines/>
        <w:rPr>
          <w:sz w:val="26"/>
          <w:szCs w:val="26"/>
        </w:rPr>
      </w:pPr>
      <w:r>
        <w:rPr>
          <w:sz w:val="26"/>
          <w:szCs w:val="26"/>
        </w:rPr>
        <w:t xml:space="preserve">Central Hudson Gas &amp; Electric Corporation </w:t>
      </w:r>
    </w:p>
    <w:p>
      <w:pPr>
        <w:pStyle w:val="Normal"/>
        <w:keepNext w:val="true"/>
        <w:keepLines/>
        <w:rPr>
          <w:sz w:val="26"/>
          <w:szCs w:val="26"/>
        </w:rPr>
      </w:pPr>
      <w:r>
        <w:rPr>
          <w:sz w:val="26"/>
          <w:szCs w:val="26"/>
        </w:rPr>
        <w:t xml:space="preserve">Consolidated Edison Company of New York, Inc. </w:t>
      </w:r>
    </w:p>
    <w:p>
      <w:pPr>
        <w:pStyle w:val="Normal"/>
        <w:keepNext w:val="true"/>
        <w:keepLines/>
        <w:rPr>
          <w:sz w:val="26"/>
          <w:szCs w:val="26"/>
        </w:rPr>
      </w:pPr>
      <w:r>
        <w:rPr>
          <w:sz w:val="26"/>
          <w:szCs w:val="26"/>
        </w:rPr>
        <w:t xml:space="preserve">Niagara Mohawk Power Corporation </w:t>
      </w:r>
    </w:p>
    <w:p>
      <w:pPr>
        <w:pStyle w:val="Normal"/>
        <w:keepNext w:val="true"/>
        <w:keepLines/>
        <w:rPr>
          <w:sz w:val="26"/>
          <w:szCs w:val="26"/>
        </w:rPr>
      </w:pPr>
      <w:r>
        <w:rPr>
          <w:sz w:val="26"/>
          <w:szCs w:val="26"/>
        </w:rPr>
        <w:t xml:space="preserve">New York State Electric &amp; Gas Corporation </w:t>
      </w:r>
    </w:p>
    <w:p>
      <w:pPr>
        <w:pStyle w:val="Normal"/>
        <w:keepNext w:val="true"/>
        <w:keepLines/>
        <w:rPr>
          <w:sz w:val="26"/>
          <w:szCs w:val="26"/>
        </w:rPr>
      </w:pPr>
      <w:r>
        <w:rPr>
          <w:sz w:val="26"/>
          <w:szCs w:val="26"/>
        </w:rPr>
        <w:t xml:space="preserve">Orange &amp; Rockland Utilities, Inc. </w:t>
      </w:r>
    </w:p>
    <w:p>
      <w:pPr>
        <w:pStyle w:val="Normal"/>
        <w:keepLines/>
        <w:rPr>
          <w:sz w:val="26"/>
          <w:szCs w:val="26"/>
        </w:rPr>
      </w:pPr>
      <w:r>
        <w:rPr>
          <w:sz w:val="26"/>
          <w:szCs w:val="26"/>
        </w:rPr>
        <w:t>Rochester Gas &amp; Electric Corporation</w:t>
      </w:r>
    </w:p>
    <w:p>
      <w:pPr>
        <w:pStyle w:val="Normal"/>
        <w:rPr>
          <w:sz w:val="26"/>
          <w:szCs w:val="26"/>
        </w:rPr>
      </w:pPr>
      <w:r>
        <w:rPr>
          <w:sz w:val="26"/>
          <w:szCs w:val="26"/>
        </w:rPr>
      </w:r>
    </w:p>
    <w:p>
      <w:pPr>
        <w:pStyle w:val="Normal"/>
        <w:tabs>
          <w:tab w:val="clear" w:pos="720"/>
          <w:tab w:val="left" w:pos="-1440" w:leader="none"/>
        </w:tabs>
        <w:ind w:hanging="5760" w:start="5760" w:end="0"/>
        <w:rPr>
          <w:sz w:val="26"/>
          <w:szCs w:val="26"/>
        </w:rPr>
      </w:pPr>
      <w:r>
        <w:rPr>
          <w:sz w:val="26"/>
          <w:szCs w:val="26"/>
        </w:rPr>
        <w:t>PJM Interconnection, L.L.C.</w:t>
        <w:tab/>
        <w:tab/>
        <w:tab/>
        <w:tab/>
        <w:t>Docket No. RT01-98-000</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tabs>
          <w:tab w:val="clear" w:pos="720"/>
          <w:tab w:val="left" w:pos="-1440" w:leader="none"/>
        </w:tabs>
        <w:ind w:hanging="5760" w:start="5760" w:end="0"/>
        <w:rPr>
          <w:sz w:val="26"/>
          <w:szCs w:val="26"/>
        </w:rPr>
      </w:pPr>
      <w:r>
        <w:rPr>
          <w:sz w:val="26"/>
          <w:szCs w:val="26"/>
        </w:rPr>
        <w:t>Regional Transmission Organizations</w:t>
        <w:tab/>
        <w:tab/>
        <w:tab/>
        <w:t>Docket No. RT01-99-000</w:t>
      </w:r>
    </w:p>
    <w:p>
      <w:pPr>
        <w:pStyle w:val="Normal"/>
        <w:rPr>
          <w:sz w:val="26"/>
          <w:szCs w:val="26"/>
        </w:rPr>
      </w:pPr>
      <w:r>
        <w:rPr>
          <w:sz w:val="26"/>
          <w:szCs w:val="26"/>
        </w:rPr>
      </w:r>
    </w:p>
    <w:p>
      <w:pPr>
        <w:pStyle w:val="Normal"/>
        <w:tabs>
          <w:tab w:val="clear" w:pos="720"/>
          <w:tab w:val="left" w:pos="-1440" w:leader="none"/>
        </w:tabs>
        <w:ind w:hanging="5760" w:start="5760" w:end="0"/>
        <w:rPr>
          <w:sz w:val="26"/>
          <w:szCs w:val="26"/>
        </w:rPr>
      </w:pPr>
      <w:r>
        <w:rPr>
          <w:sz w:val="26"/>
          <w:szCs w:val="26"/>
        </w:rPr>
        <w:t>Regional Transmission Organizations</w:t>
        <w:tab/>
        <w:tab/>
        <w:tab/>
        <w:t>Docket No. RT01-100-000</w:t>
      </w:r>
    </w:p>
    <w:p>
      <w:pPr>
        <w:pStyle w:val="Normal"/>
        <w:rPr>
          <w:sz w:val="26"/>
          <w:szCs w:val="26"/>
        </w:rPr>
      </w:pPr>
      <w:r>
        <w:rPr>
          <w:sz w:val="26"/>
          <w:szCs w:val="26"/>
        </w:rPr>
      </w:r>
    </w:p>
    <w:p>
      <w:pPr>
        <w:pStyle w:val="Normal"/>
        <w:keepNext w:val="true"/>
        <w:keepLines/>
        <w:tabs>
          <w:tab w:val="clear" w:pos="720"/>
          <w:tab w:val="left" w:pos="-1440" w:leader="none"/>
        </w:tabs>
        <w:ind w:hanging="5760" w:start="5760" w:end="0"/>
        <w:rPr>
          <w:sz w:val="26"/>
          <w:szCs w:val="26"/>
        </w:rPr>
      </w:pPr>
      <w:r>
        <w:rPr>
          <w:sz w:val="26"/>
          <w:szCs w:val="26"/>
        </w:rPr>
        <w:t>Arizona Public Service Company</w:t>
        <w:tab/>
        <w:tab/>
        <w:tab/>
        <w:tab/>
        <w:t>Docket Nos. RT02-1-000</w:t>
      </w:r>
    </w:p>
    <w:p>
      <w:pPr>
        <w:pStyle w:val="Normal"/>
        <w:keepNext w:val="true"/>
        <w:keepLines/>
        <w:tabs>
          <w:tab w:val="clear" w:pos="720"/>
          <w:tab w:val="left" w:pos="-1440" w:leader="none"/>
        </w:tabs>
        <w:ind w:hanging="6480" w:start="6480" w:end="0"/>
        <w:rPr>
          <w:sz w:val="26"/>
          <w:szCs w:val="26"/>
        </w:rPr>
      </w:pPr>
      <w:r>
        <w:rPr>
          <w:sz w:val="26"/>
          <w:szCs w:val="26"/>
        </w:rPr>
        <w:t>El Paso Electric Company</w:t>
        <w:tab/>
        <w:tab/>
        <w:tab/>
        <w:tab/>
        <w:tab/>
        <w:tab/>
        <w:t xml:space="preserve">          EL02-9-000</w:t>
      </w:r>
    </w:p>
    <w:p>
      <w:pPr>
        <w:pStyle w:val="Normal"/>
        <w:keepNext w:val="true"/>
        <w:keepLines/>
        <w:rPr>
          <w:sz w:val="26"/>
          <w:szCs w:val="26"/>
        </w:rPr>
      </w:pPr>
      <w:r>
        <w:rPr>
          <w:sz w:val="26"/>
          <w:szCs w:val="26"/>
        </w:rPr>
        <w:t>Public Service Company of New Mexico</w:t>
      </w:r>
    </w:p>
    <w:p>
      <w:pPr>
        <w:pStyle w:val="Normal"/>
        <w:keepNext w:val="true"/>
        <w:keepLines/>
        <w:rPr>
          <w:sz w:val="26"/>
          <w:szCs w:val="26"/>
        </w:rPr>
      </w:pPr>
      <w:r>
        <w:rPr>
          <w:sz w:val="26"/>
          <w:szCs w:val="26"/>
        </w:rPr>
        <w:t>Tucson Electric Power Company</w:t>
      </w:r>
    </w:p>
    <w:p>
      <w:pPr>
        <w:pStyle w:val="Normal"/>
        <w:keepLines/>
        <w:rPr>
          <w:sz w:val="26"/>
          <w:szCs w:val="26"/>
        </w:rPr>
      </w:pPr>
      <w:r>
        <w:rPr>
          <w:sz w:val="26"/>
          <w:szCs w:val="26"/>
        </w:rPr>
        <w:t>WestConnect RTO, LLC</w:t>
      </w:r>
    </w:p>
    <w:p>
      <w:pPr>
        <w:pStyle w:val="Normal"/>
        <w:rPr>
          <w:sz w:val="26"/>
          <w:szCs w:val="26"/>
        </w:rPr>
      </w:pPr>
      <w:r>
        <w:rPr>
          <w:sz w:val="26"/>
          <w:szCs w:val="26"/>
        </w:rPr>
      </w:r>
    </w:p>
    <w:p>
      <w:pPr>
        <w:pStyle w:val="Normal"/>
        <w:jc w:val="center"/>
        <w:rPr>
          <w:sz w:val="26"/>
          <w:szCs w:val="26"/>
        </w:rPr>
      </w:pPr>
      <w:r>
        <w:rPr>
          <w:sz w:val="26"/>
          <w:szCs w:val="26"/>
        </w:rPr>
        <w:t>NOTICE OF TECHNICAL CONFERENCE</w:t>
      </w:r>
    </w:p>
    <w:p>
      <w:pPr>
        <w:pStyle w:val="Normal"/>
        <w:jc w:val="both"/>
        <w:rPr>
          <w:sz w:val="26"/>
          <w:szCs w:val="26"/>
        </w:rPr>
      </w:pPr>
      <w:r>
        <w:rPr>
          <w:sz w:val="26"/>
          <w:szCs w:val="26"/>
        </w:rPr>
      </w:r>
    </w:p>
    <w:p>
      <w:pPr>
        <w:pStyle w:val="Normal"/>
        <w:tabs>
          <w:tab w:val="clear" w:pos="720"/>
          <w:tab w:val="center" w:pos="4680" w:leader="none"/>
        </w:tabs>
        <w:jc w:val="both"/>
        <w:rPr>
          <w:sz w:val="26"/>
          <w:szCs w:val="26"/>
        </w:rPr>
      </w:pPr>
      <w:r>
        <w:rPr>
          <w:sz w:val="26"/>
          <w:szCs w:val="26"/>
        </w:rPr>
        <w:tab/>
        <w:t>(January 9, 2002)</w:t>
      </w:r>
    </w:p>
    <w:p>
      <w:pPr>
        <w:pStyle w:val="Normal"/>
        <w:jc w:val="both"/>
        <w:rPr>
          <w:sz w:val="26"/>
          <w:szCs w:val="26"/>
        </w:rPr>
      </w:pPr>
      <w:r>
        <w:rPr>
          <w:sz w:val="26"/>
          <w:szCs w:val="26"/>
        </w:rPr>
      </w:r>
    </w:p>
    <w:p>
      <w:pPr>
        <w:pStyle w:val="Normal"/>
        <w:ind w:firstLine="720" w:end="0"/>
        <w:rPr>
          <w:sz w:val="26"/>
          <w:szCs w:val="26"/>
        </w:rPr>
      </w:pPr>
      <w:r>
        <w:rPr>
          <w:sz w:val="26"/>
          <w:szCs w:val="26"/>
        </w:rPr>
        <w:t>Take notice that a technical conference will be held on January 22-23, 2002, from  approximately 9:30 a.m. to 4:30 p.m., in a room to be designated at the offices of the Federal Energy Regulatory Commission, 888 First Street, N.E., Washington, D.C.  The goals of the conference will be to gain a mutual understanding of similarities and differences between various market designs and to allow participants to provide further detail on market operations.  Members of the Commission will attend the conference and participate in the discussions.  All interested persons may attend.</w:t>
      </w:r>
    </w:p>
    <w:p>
      <w:pPr>
        <w:pStyle w:val="Normal"/>
        <w:rPr>
          <w:sz w:val="26"/>
          <w:szCs w:val="26"/>
        </w:rPr>
      </w:pPr>
      <w:r>
        <w:rPr>
          <w:sz w:val="26"/>
          <w:szCs w:val="26"/>
        </w:rPr>
      </w:r>
    </w:p>
    <w:p>
      <w:pPr>
        <w:pStyle w:val="Normal"/>
        <w:ind w:firstLine="720" w:end="0"/>
        <w:rPr>
          <w:sz w:val="26"/>
          <w:szCs w:val="26"/>
        </w:rPr>
      </w:pPr>
      <w:r>
        <w:rPr>
          <w:sz w:val="26"/>
          <w:szCs w:val="26"/>
        </w:rPr>
        <w:t>The Commission is inviting selected panelists on these topics to participate in these workshops; it is not at this time entertaining requests to make presentations.  There will be ample opportunity for non-panelists to submit comments in the above dockets.   Additional details about the workshops will be provided in a subsequent notice, and will be posted on the Commission's web site under RTO Activities.  For additional information about the conference, please contact Saida Shaalan at (202) 208-0278.</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 xml:space="preserve">                                                                  </w:t>
      </w:r>
      <w:r>
        <w:rPr>
          <w:sz w:val="26"/>
          <w:szCs w:val="26"/>
        </w:rPr>
        <w:t>C.B. Spencer</w:t>
      </w:r>
    </w:p>
    <w:p>
      <w:pPr>
        <w:pStyle w:val="Normal"/>
        <w:ind w:firstLine="3600" w:end="0"/>
        <w:rPr>
          <w:sz w:val="26"/>
          <w:szCs w:val="26"/>
        </w:rPr>
      </w:pPr>
      <w:r>
        <w:rPr>
          <w:sz w:val="26"/>
          <w:szCs w:val="26"/>
        </w:rPr>
        <w:t xml:space="preserve">           </w:t>
      </w:r>
      <w:r>
        <w:rPr>
          <w:sz w:val="26"/>
          <w:szCs w:val="26"/>
        </w:rPr>
        <w:t>Acting Secretary</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2002-01-10T16:54:00Z</dcterms:created>
  <dc:creator>Information Services</dc:creator>
  <dc:description/>
  <dc:language>en-CA</dc:language>
  <cp:lastModifiedBy>Information Services</cp:lastModifiedBy>
  <dcterms:modified xsi:type="dcterms:W3CDTF">2002-01-10T16:54:00Z</dcterms:modified>
  <cp:revision>2</cp:revision>
  <dc:subject/>
  <dc:title>UNITED STATES OF AMERICA</dc:title>
</cp:coreProperties>
</file>