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footnotes.xml.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footer4.xml" ContentType="application/vnd.openxmlformats-officedocument.wordprocessingml.footer+xml"/>
  <Override PartName="/word/footnotes.xml" ContentType="application/vnd.openxmlformats-officedocument.wordprocessingml.footnotes+xml"/>
  <Override PartName="/word/fontTable.xml" ContentType="application/vnd.openxmlformats-officedocument.wordprocessingml.fontTable+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sz w:val="48"/>
        </w:rPr>
      </w:pPr>
      <w:r>
        <w:rPr>
          <w:sz w:val="48"/>
        </w:rPr>
      </w:r>
    </w:p>
    <w:p>
      <w:pPr>
        <w:pStyle w:val="Heading"/>
        <w:rPr>
          <w:sz w:val="48"/>
        </w:rPr>
      </w:pPr>
      <w:r>
        <w:rPr>
          <w:sz w:val="48"/>
        </w:rPr>
      </w:r>
    </w:p>
    <w:p>
      <w:pPr>
        <w:pStyle w:val="Heading"/>
        <w:rPr>
          <w:sz w:val="48"/>
        </w:rPr>
      </w:pPr>
      <w:r>
        <w:rPr>
          <w:sz w:val="48"/>
        </w:rPr>
        <w:t>THE</w:t>
      </w:r>
    </w:p>
    <w:p>
      <w:pPr>
        <w:pStyle w:val="Heading"/>
        <w:rPr>
          <w:b w:val="false"/>
          <w:sz w:val="48"/>
        </w:rPr>
      </w:pPr>
      <w:r>
        <w:rPr>
          <w:sz w:val="48"/>
        </w:rPr>
        <w:t>WESTERN SYSTEMS POWER POOL</w:t>
      </w:r>
    </w:p>
    <w:p>
      <w:pPr>
        <w:pStyle w:val="Heading"/>
        <w:rPr>
          <w:b w:val="false"/>
          <w:sz w:val="48"/>
        </w:rPr>
      </w:pPr>
      <w:r>
        <w:rPr>
          <w:b w:val="false"/>
          <w:sz w:val="48"/>
        </w:rPr>
      </w:r>
    </w:p>
    <w:p>
      <w:pPr>
        <w:pStyle w:val="Heading"/>
        <w:rPr>
          <w:b w:val="false"/>
          <w:sz w:val="48"/>
        </w:rPr>
      </w:pPr>
      <w:r>
        <w:rPr>
          <w:b w:val="false"/>
          <w:sz w:val="48"/>
        </w:rPr>
      </w:r>
    </w:p>
    <w:p>
      <w:pPr>
        <w:pStyle w:val="Heading"/>
        <w:rPr>
          <w:b w:val="false"/>
          <w:sz w:val="48"/>
        </w:rPr>
      </w:pPr>
      <w:r>
        <w:rPr>
          <w:b w:val="false"/>
          <w:sz w:val="48"/>
        </w:rPr>
      </w:r>
    </w:p>
    <w:p>
      <w:pPr>
        <w:pStyle w:val="Heading"/>
        <w:rPr>
          <w:b w:val="false"/>
          <w:sz w:val="48"/>
        </w:rPr>
      </w:pPr>
      <w:r>
        <w:rPr>
          <w:b w:val="false"/>
          <w:sz w:val="48"/>
        </w:rPr>
      </w:r>
    </w:p>
    <w:p>
      <w:pPr>
        <w:pStyle w:val="Heading"/>
        <w:spacing w:lineRule="auto" w:line="240"/>
        <w:rPr>
          <w:sz w:val="28"/>
        </w:rPr>
      </w:pPr>
      <w:r>
        <w:rPr>
          <w:sz w:val="28"/>
        </w:rPr>
        <w:t>Michael E. Small</w:t>
      </w:r>
    </w:p>
    <w:p>
      <w:pPr>
        <w:pStyle w:val="Heading"/>
        <w:spacing w:lineRule="auto" w:line="240"/>
        <w:rPr>
          <w:sz w:val="28"/>
        </w:rPr>
      </w:pPr>
      <w:r>
        <w:rPr>
          <w:sz w:val="28"/>
        </w:rPr>
        <w:t>General Counsel to the Western Systems Power Pool</w:t>
      </w:r>
    </w:p>
    <w:p>
      <w:pPr>
        <w:pStyle w:val="Heading"/>
        <w:spacing w:lineRule="auto" w:line="240"/>
        <w:rPr>
          <w:sz w:val="28"/>
        </w:rPr>
      </w:pPr>
      <w:r>
        <w:rPr>
          <w:sz w:val="28"/>
        </w:rPr>
        <w:t>Wright &amp; Talisman, P.C.</w:t>
      </w:r>
    </w:p>
    <w:p>
      <w:pPr>
        <w:pStyle w:val="Heading"/>
        <w:spacing w:lineRule="auto" w:line="240"/>
        <w:rPr>
          <w:sz w:val="28"/>
        </w:rPr>
      </w:pPr>
      <w:r>
        <w:rPr>
          <w:sz w:val="28"/>
        </w:rPr>
        <w:t>1200 G Street, N.W., Suite 600</w:t>
      </w:r>
    </w:p>
    <w:p>
      <w:pPr>
        <w:pStyle w:val="Heading"/>
        <w:spacing w:lineRule="auto" w:line="240"/>
        <w:rPr>
          <w:sz w:val="28"/>
        </w:rPr>
      </w:pPr>
      <w:r>
        <w:rPr>
          <w:sz w:val="28"/>
        </w:rPr>
        <w:t>Washington, D.C.   20005</w:t>
      </w:r>
    </w:p>
    <w:p>
      <w:pPr>
        <w:pStyle w:val="Heading"/>
        <w:spacing w:lineRule="auto" w:line="240"/>
        <w:rPr>
          <w:sz w:val="28"/>
        </w:rPr>
      </w:pPr>
      <w:r>
        <w:rPr>
          <w:sz w:val="28"/>
        </w:rPr>
        <w:t>(202) 393-1200</w:t>
      </w:r>
    </w:p>
    <w:p>
      <w:pPr>
        <w:pStyle w:val="Heading"/>
        <w:spacing w:lineRule="auto" w:line="240"/>
        <w:rPr>
          <w:sz w:val="28"/>
        </w:rPr>
      </w:pPr>
      <w:r>
        <w:rPr>
          <w:sz w:val="28"/>
        </w:rPr>
        <w:t>(202) 393-1240 - fax</w:t>
      </w:r>
    </w:p>
    <w:p>
      <w:pPr>
        <w:pStyle w:val="Heading"/>
        <w:spacing w:lineRule="auto" w:line="240"/>
        <w:rPr>
          <w:b w:val="false"/>
          <w:sz w:val="28"/>
        </w:rPr>
      </w:pPr>
      <w:r>
        <w:rPr>
          <w:sz w:val="28"/>
        </w:rPr>
        <w:t>E-mail:  Small@Wrightlaw.com</w:t>
      </w:r>
    </w:p>
    <w:p>
      <w:pPr>
        <w:pStyle w:val="Heading"/>
        <w:spacing w:lineRule="auto" w:line="240"/>
        <w:rPr>
          <w:b w:val="false"/>
          <w:sz w:val="28"/>
        </w:rPr>
      </w:pPr>
      <w:r>
        <w:rPr>
          <w:b w:val="false"/>
          <w:sz w:val="28"/>
        </w:rPr>
      </w:r>
    </w:p>
    <w:p>
      <w:pPr>
        <w:pStyle w:val="Heading"/>
        <w:rPr>
          <w:b w:val="false"/>
          <w:sz w:val="28"/>
        </w:rPr>
      </w:pPr>
      <w:r>
        <w:rPr>
          <w:b w:val="false"/>
          <w:sz w:val="28"/>
        </w:rPr>
      </w:r>
    </w:p>
    <w:p>
      <w:pPr>
        <w:sectPr>
          <w:footerReference w:type="default" r:id="rId2"/>
          <w:footerReference w:type="first" r:id="rId3"/>
          <w:type w:val="nextPage"/>
          <w:pgSz w:w="12240" w:h="15840"/>
          <w:pgMar w:left="1800" w:right="1800" w:gutter="0" w:header="0" w:top="1440" w:footer="720" w:bottom="1440"/>
          <w:pgNumType w:fmt="decimal"/>
          <w:formProt w:val="false"/>
          <w:titlePg/>
          <w:textDirection w:val="lrTb"/>
          <w:docGrid w:type="default" w:linePitch="360" w:charSpace="0"/>
        </w:sectPr>
        <w:pStyle w:val="Heading"/>
        <w:rPr/>
      </w:pPr>
      <w:r>
        <w:rPr/>
      </w:r>
    </w:p>
    <w:p>
      <w:pPr>
        <w:pStyle w:val="Heading"/>
        <w:rPr/>
      </w:pPr>
      <w:r>
        <w:rPr/>
      </w:r>
    </w:p>
    <w:p>
      <w:pPr>
        <w:pStyle w:val="Heading"/>
        <w:rPr/>
      </w:pPr>
      <w:r>
        <w:rPr/>
        <w:t>THE WESTERN SYSTEMS POWER POOL</w:t>
      </w:r>
    </w:p>
    <w:p>
      <w:pPr>
        <w:pStyle w:val="BodyText"/>
        <w:jc w:val="both"/>
        <w:rPr/>
      </w:pPr>
      <w:r>
        <w:rPr/>
        <w:tab/>
        <w:t>The Western Systems Power Pool is an organization which promotes the trading of electric power throughout the United States and parts of Canada and not just in the west.  Its structure allows easy trading between members pursuant to standardized terms, and without having to go through the time consuming and costly negotiation of master agreements or individual agreements between parties.  It also provides opportunities for traders, lawyers, and others to get together to discuss the issues that arise in the marketing of power or to simply make contacts to facilitate trading.  As a result of those meetings, the WSPP standardized contract is frequently updated to address the most pressing issues involving electric trading.  Currently, the WSPP is made up of over 230 members, including most of the major power marketers, a large number of regulated and non-regulated arms of vertically integrated utilities, independent power producers, and many public entities including municipals, cooperatives and state and federal agencies.  For the last ten years, it has been the most heavily used standardized contract for wholesale power sales for physical delivery in the United States.</w:t>
      </w:r>
    </w:p>
    <w:p>
      <w:pPr>
        <w:pStyle w:val="NORMALDOUBLESPACED"/>
        <w:rPr>
          <w:b/>
        </w:rPr>
      </w:pPr>
      <w:r>
        <w:rPr>
          <w:b/>
        </w:rPr>
        <w:t>History of the WSPP</w:t>
      </w:r>
    </w:p>
    <w:p>
      <w:pPr>
        <w:pStyle w:val="Normal"/>
        <w:spacing w:lineRule="auto" w:line="480"/>
        <w:rPr/>
      </w:pPr>
      <w:r>
        <w:rPr/>
        <w:tab/>
        <w:t>Prior to the WSPP traders of electric power had few opportunities to sell and negotiate short-term power trades at market prices.  Sellers regulated by the Federal Energy Regulatory Commission (FERC) were required to seek FERC approval before making sales and those sales generally were made at strictly enforced cost-based rates.</w:t>
      </w:r>
      <w:r>
        <w:rPr>
          <w:rStyle w:val="FootnoteCharacters"/>
          <w:rStyle w:val="FootnoteReference"/>
        </w:rPr>
        <w:footnoteReference w:id="2"/>
      </w:r>
      <w:r>
        <w:rPr/>
        <w:t xml:space="preserve">  To determine if it was in the public interest to allow pricing flexibility to sellers of power, FERC allowed the WSPP to begin in 1987 as an experiment.  </w:t>
      </w:r>
      <w:r>
        <w:rPr>
          <w:u w:val="single"/>
        </w:rPr>
        <w:t>Pacific Gas &amp; Electric Co.</w:t>
      </w:r>
      <w:r>
        <w:rPr/>
        <w:t>, 38 FERC ¶ 61,242 (1987).  While there were price caps, the price caps were set at such high levels, that power was traded under the experiment generally at market based rates.</w:t>
      </w:r>
      <w:r>
        <w:rPr>
          <w:rStyle w:val="FootnoteCharacters"/>
          <w:rStyle w:val="FootnoteReference"/>
        </w:rPr>
        <w:footnoteReference w:id="3"/>
      </w:r>
    </w:p>
    <w:p>
      <w:pPr>
        <w:pStyle w:val="Normal"/>
        <w:spacing w:lineRule="auto" w:line="480"/>
        <w:rPr/>
      </w:pPr>
      <w:r>
        <w:rPr/>
        <w:tab/>
        <w:t xml:space="preserve">FERC concluded that the WSPP experiment was successful.  </w:t>
      </w:r>
      <w:r>
        <w:rPr>
          <w:u w:val="single"/>
        </w:rPr>
        <w:t>Western Systems Power Pool</w:t>
      </w:r>
      <w:r>
        <w:rPr/>
        <w:t xml:space="preserve">, 55 FERC ¶ 61,099 at 61,303 (1991) (citing Strategic Decisions Group Report, Dec. 31, 1990).  It then allowed the WSPP to continue on a more permanent basis beginning in 1991.  </w:t>
      </w:r>
      <w:r>
        <w:rPr>
          <w:u w:val="single"/>
        </w:rPr>
        <w:t>Western Systems Power Pool</w:t>
      </w:r>
      <w:r>
        <w:rPr/>
        <w:t>, 55 FERC ¶ 61,099, order on reh’g, 55 FERC ¶ 61,495 (1991).  The 1991 version of the WSPP Agreement allowed short-term transactions (of less than one year) to take place under price caps without any additional regulatory filings other than the submission of quarterly pricing reports.  Since that time the WSPP has modified its Agreement to allow market based pricing and long term transactions.  In addition, mediation and arbitration procedures have been established and the terms of the WSPP Agreement governing the sale and purchase of power have been substantially refined.</w:t>
      </w:r>
    </w:p>
    <w:p>
      <w:pPr>
        <w:pStyle w:val="NORMALDOUBLESPACED"/>
        <w:rPr>
          <w:b/>
        </w:rPr>
      </w:pPr>
      <w:r>
        <w:rPr>
          <w:b/>
        </w:rPr>
        <w:t>What is the WSPP?</w:t>
      </w:r>
    </w:p>
    <w:p>
      <w:pPr>
        <w:pStyle w:val="BodyText"/>
        <w:jc w:val="both"/>
        <w:rPr/>
      </w:pPr>
      <w:r>
        <w:rPr/>
        <w:tab/>
        <w:t>The WSPP is not a power exchange.  It is an organization whose members have access to a standardized contract for the sale and purchase of electric power that has been accepted by FERC.  A diverse group of members, including sellers and customers, developed this standardized contract.  It also is relatively easy to understand because of the very substantial involvement of traders in its development.  Members are not required to use the WSPP contract (and, in fact, can revise it for their trades), but it is a contract available only to members for their power transactions.  The standardized contract facilitates trades because members may use it for trades without negotiating new individual or master agreements with individual parties.  For sellers regulated by FERC, the WSPP contract also satisfies all regulatory requirements for sales as it is a FERC accepted contract.</w:t>
      </w:r>
      <w:r>
        <w:rPr>
          <w:rStyle w:val="FootnoteCharacters"/>
          <w:rStyle w:val="FootnoteReference"/>
        </w:rPr>
        <w:footnoteReference w:id="4"/>
      </w:r>
    </w:p>
    <w:p>
      <w:pPr>
        <w:pStyle w:val="BodyText"/>
        <w:jc w:val="both"/>
        <w:rPr/>
      </w:pPr>
      <w:r>
        <w:rPr/>
        <w:tab/>
        <w:t>In addition to a standardized power sales agreement, the WSPP also has a FERC open access transmission tariff which applies to those members that own transmission facilities and do not provide or have provided by others (such as ISO’s) open access transmission service over those facilities.</w:t>
      </w:r>
      <w:r>
        <w:rPr>
          <w:rStyle w:val="FootnoteCharacters"/>
          <w:rStyle w:val="FootnoteReference"/>
        </w:rPr>
        <w:footnoteReference w:id="5"/>
      </w:r>
      <w:r>
        <w:rPr/>
        <w:t xml:space="preserve">  FERC required the WSPP to submit that transmission tariff pursuant to Order No. 888.  In essence, this tariff provides a means for members to obtain transmission over municipal transmission systems that do not have open access transmission tariffs.</w:t>
      </w:r>
    </w:p>
    <w:p>
      <w:pPr>
        <w:pStyle w:val="BodyText"/>
        <w:jc w:val="both"/>
        <w:rPr/>
      </w:pPr>
      <w:r>
        <w:rPr/>
        <w:tab/>
        <w:t>Another asset of the WSPP is an export license allowing members to export power to Canada across certain transmission lines.</w:t>
      </w:r>
      <w:r>
        <w:rPr>
          <w:rStyle w:val="FootnoteCharacters"/>
          <w:rStyle w:val="FootnoteReference"/>
        </w:rPr>
        <w:footnoteReference w:id="6"/>
      </w:r>
      <w:r>
        <w:rPr/>
        <w:t xml:space="preserve">  This export license was perhaps the first export license allowing the flexibility to trade with Canada without an individual transaction being specified.</w:t>
      </w:r>
    </w:p>
    <w:p>
      <w:pPr>
        <w:pStyle w:val="NORMALDOUBLESPACED"/>
        <w:rPr/>
      </w:pPr>
      <w:r>
        <w:rPr/>
        <w:tab/>
        <w:t>The WSPP is a not-for profit, non-stock Utah corporation.  The WSPP is governed by two committees, its Executive and Operating Committees.  Each member has a representative on each committee and each member possesses one vote.  Among other things, these committees determine what if any changes should be made to WSPP Agreement.  One significant advantage of the WSPP structure is that a change to the WSPP Agreement can be easily made by submitting a filing with the FERC.  That change will take effect after FERC approval and apply to WSPP trades between the over 230 WSPP members.  In contrast, if companies operate pursuant to individual master agreements, those companies will need to modify each of their master agreements (and obtain agreement of their counterparties) to effectuate changes.</w:t>
      </w:r>
    </w:p>
    <w:p>
      <w:pPr>
        <w:pStyle w:val="Normal"/>
        <w:spacing w:lineRule="auto" w:line="480"/>
        <w:rPr/>
      </w:pPr>
      <w:r>
        <w:rPr/>
        <w:tab/>
        <w:t>The WSPP sponsors numerous meetings each year including two operating committee, at least one executive committee, and numerous contracting committee meetings.  These meetings not only allow members’ employees to meet their counterparts, but they also provide valuable educational opportunities.  The WSPP also has a homepage (</w:t>
      </w:r>
      <w:hyperlink r:id="rId4">
        <w:r>
          <w:rPr>
            <w:rStyle w:val="Hyperlink"/>
          </w:rPr>
          <w:t>www.wspp.org</w:t>
        </w:r>
      </w:hyperlink>
      <w:r>
        <w:rPr/>
        <w:t>) which posts member information (such as their contacts for trades and billing information), the WSPP documents, memo’s addressing various contracting issues, summaries of pertinent orders, filings, decisions, and legislation, notices, pricing information, and anything of interest (such as solicitations for power projects or jobs) that members desire.</w:t>
      </w:r>
    </w:p>
    <w:p>
      <w:pPr>
        <w:pStyle w:val="Normal"/>
        <w:spacing w:lineRule="auto" w:line="480"/>
        <w:rPr/>
      </w:pPr>
      <w:r>
        <w:rPr/>
        <w:tab/>
        <w:t>Currently and for the foreseeable future, members will pay no annual fees to cover the operation of the WSPP.  New members pay a one-time fee of $25,000 to join.  Those initial fees are used to pay for the operating expenses of the WSPP.</w:t>
      </w:r>
    </w:p>
    <w:p>
      <w:pPr>
        <w:pStyle w:val="NORMALDOUBLESPACED"/>
        <w:rPr>
          <w:b/>
        </w:rPr>
      </w:pPr>
      <w:r>
        <w:rPr>
          <w:b/>
        </w:rPr>
        <w:t>How the WSPP Agreement Works</w:t>
      </w:r>
    </w:p>
    <w:p>
      <w:pPr>
        <w:pStyle w:val="BodyText"/>
        <w:jc w:val="both"/>
        <w:rPr/>
      </w:pPr>
      <w:r>
        <w:rPr/>
        <w:tab/>
        <w:t xml:space="preserve">The WSPP Agreement is a default power sales agreement that may be used only by WSPP members.  The Agreement sets forth the general terms for the transaction, such as force majeure, damages, default, creditworthiness, and netting.  Parties are to set forth the transaction specific terms in a confirmation agreement.  By mutual agreement, members are allowed to modify any term of the WSPP Agreement (including the product definitions) for any transaction.  Parties do this by including the revised terms in a confirmation agreement or by executing an agreement covering multiple trades between the parties and modifying the WSPP Agreement for those trades.  Section 32 of the WSPP Agreement sets forth the confirmation process for transactions.  Through that process, members are allowed to propose changes to the WSPP Agreement to be applicable to specific transactions.  If the other party does not object to those changes within 5 Business Days or otherwise agrees to those changes, the changes become effective for that transaction.  However, and most significantly, if a party objects to the change to the WSPP Agreement and no agreement is reached, the transaction will occur pursuant to the unchanged term or terms of the WSPP Agreement.  This “default” feature of the WSPP Agreement was included to ensure that there was an applicable contract for transactions.  Prior to the WSPP Agreement becoming the default contract, parties in some instances failed to agree to terms through the confirmation process, but still proceeded with the transaction (or completed the transaction), thereby creating an issue as to whether there was a contract between the parties.  </w:t>
      </w:r>
    </w:p>
    <w:p>
      <w:pPr>
        <w:pStyle w:val="Normal"/>
        <w:spacing w:lineRule="auto" w:line="480"/>
        <w:rPr/>
      </w:pPr>
      <w:r>
        <w:rPr/>
        <w:tab/>
        <w:t>Recent examples as to how parties are making changes to the WSPP Agreement through the confirmation process involve products.  The WSPP Agreement contains three basic products: economy, unit contingent, and firm.  A number of sellers are tailoring products for certain markets.  The flexibility built into the WSPP Agreement allows the parties to sell and buy products that have terms different from those found in the WSPP Agreement by mutual agreement.  See WSPP Agreement Section 32.1.</w:t>
      </w:r>
    </w:p>
    <w:p>
      <w:pPr>
        <w:pStyle w:val="Normal"/>
        <w:spacing w:lineRule="auto" w:line="480"/>
        <w:rPr/>
      </w:pPr>
      <w:r>
        <w:rPr/>
        <w:tab/>
        <w:t>One issue being discussed is what happens if a finalized confirmation contains a mistake supported by the discussions on the tapes.  Currently, if parties cannot mutually agree to a solution, the matter may wind up in Court with one party perhaps arguing that the contract is voided by mutual mistake.</w:t>
      </w:r>
      <w:r>
        <w:rPr>
          <w:rStyle w:val="FootnoteCharacters"/>
          <w:rStyle w:val="FootnoteReference"/>
        </w:rPr>
        <w:footnoteReference w:id="7"/>
      </w:r>
    </w:p>
    <w:p>
      <w:pPr>
        <w:pStyle w:val="Heading1"/>
        <w:keepNext w:val="true"/>
        <w:ind w:hanging="0" w:start="0"/>
        <w:jc w:val="both"/>
        <w:rPr>
          <w:caps w:val="false"/>
          <w:smallCaps w:val="false"/>
        </w:rPr>
      </w:pPr>
      <w:r>
        <w:rPr>
          <w:caps w:val="false"/>
          <w:smallCaps w:val="false"/>
        </w:rPr>
        <w:t>Principal Terms For Sales Under The WSPP Agreement</w:t>
      </w:r>
    </w:p>
    <w:p>
      <w:pPr>
        <w:pStyle w:val="Normal"/>
        <w:keepNext w:val="true"/>
        <w:rPr/>
      </w:pPr>
      <w:r>
        <w:rPr/>
      </w:r>
    </w:p>
    <w:p>
      <w:pPr>
        <w:pStyle w:val="Heading1"/>
        <w:keepNext w:val="true"/>
        <w:ind w:hanging="0" w:start="720" w:end="0"/>
        <w:jc w:val="both"/>
        <w:rPr>
          <w:caps w:val="false"/>
          <w:smallCaps w:val="false"/>
        </w:rPr>
      </w:pPr>
      <w:r>
        <w:rPr>
          <w:caps w:val="false"/>
          <w:smallCaps w:val="false"/>
        </w:rPr>
        <w:t>Pricing</w:t>
      </w:r>
    </w:p>
    <w:p>
      <w:pPr>
        <w:pStyle w:val="Normal"/>
        <w:keepNext w:val="true"/>
        <w:rPr>
          <w:caps/>
        </w:rPr>
      </w:pPr>
      <w:r>
        <w:rPr>
          <w:caps/>
        </w:rPr>
      </w:r>
    </w:p>
    <w:p>
      <w:pPr>
        <w:pStyle w:val="Normal"/>
        <w:spacing w:lineRule="auto" w:line="480"/>
        <w:rPr/>
      </w:pPr>
      <w:r>
        <w:rPr/>
        <w:tab/>
        <w:t>FERC regulated members are allowed to sell at market based prices if they have the authority to do so under their own FERC market based tariffs.  WSPP Agreement, Service Sch. A, Section A-3.6, Service Sch. B, Section B-3.5, Service Sch. C, Section C-3.6.  The WSPP Agreement provides members with no additional authority to sell at market based rates.  Thus, if FERC imposes limits on the members ability to sell at market, as it has done with regard to certain California transactions,</w:t>
      </w:r>
      <w:r>
        <w:rPr>
          <w:rStyle w:val="FootnoteCharacters"/>
          <w:rStyle w:val="FootnoteReference"/>
        </w:rPr>
        <w:footnoteReference w:id="8"/>
      </w:r>
      <w:r>
        <w:rPr/>
        <w:t xml:space="preserve"> the members are required to abide by those limits.  Non-FERC regulated sellers may sell at market based rates regardless of what FERC does.  WSPP Agreement, Service Sch. A, Section A-3.6, Service Sch. B, Section B-3.5, Service Sch. C, Section C-3.6.</w:t>
      </w:r>
    </w:p>
    <w:p>
      <w:pPr>
        <w:pStyle w:val="Normal"/>
        <w:spacing w:lineRule="auto" w:line="480"/>
        <w:rPr/>
      </w:pPr>
      <w:r>
        <w:rPr/>
        <w:tab/>
        <w:t>FERC regulated sellers only have two filing obligations under the WSPP Agreement.  They are required to submit quarterly reports with individual transaction information.  And, for transactions of greater than one year, they are required to submit the confirmation agreement as an informational filing with FERC if they are required to make such filings under their market based tariffs.</w:t>
      </w:r>
      <w:r>
        <w:rPr>
          <w:rStyle w:val="FootnoteCharacters"/>
          <w:rStyle w:val="FootnoteReference"/>
        </w:rPr>
        <w:footnoteReference w:id="9"/>
      </w:r>
    </w:p>
    <w:p>
      <w:pPr>
        <w:pStyle w:val="Normal"/>
        <w:spacing w:lineRule="auto" w:line="480"/>
        <w:rPr/>
      </w:pPr>
      <w:r>
        <w:rPr/>
        <w:tab/>
        <w:t>If a FERC regulated seller does not have an effective market based tariff or is restricted from selling at market based rates to a particular customer,</w:t>
      </w:r>
      <w:r>
        <w:rPr>
          <w:rStyle w:val="FootnoteCharacters"/>
          <w:rStyle w:val="FootnoteReference"/>
        </w:rPr>
        <w:footnoteReference w:id="10"/>
      </w:r>
      <w:r>
        <w:rPr/>
        <w:t xml:space="preserve"> it still may sell power under the WSPP Agreement, albeit at cost based rates, without seeking any FERC approvals.  For those sellers, the cost caps are as follows:  $7.32/kW/month; $1.68/kW/week; 33.78¢/kW/day; 14.07 mills/kWh; or 21.11 mills/kWh for service of sixteen (16) hours or less per day.  FERC developed these caps in its 1991 order by focusing on the costs of the units at that time expected to be used for the provision of the service.  </w:t>
      </w:r>
      <w:r>
        <w:rPr>
          <w:u w:val="single"/>
        </w:rPr>
        <w:t>Western Systems Power Pool</w:t>
      </w:r>
      <w:r>
        <w:rPr/>
        <w:t>, 55 FERC at 61,321, 61,325.</w:t>
      </w:r>
    </w:p>
    <w:p>
      <w:pPr>
        <w:pStyle w:val="Normal"/>
        <w:spacing w:lineRule="auto" w:line="480"/>
        <w:rPr/>
      </w:pPr>
      <w:r>
        <w:rPr/>
        <w:tab/>
        <w:tab/>
      </w:r>
      <w:r>
        <w:rPr>
          <w:b/>
        </w:rPr>
        <w:t>Products</w:t>
      </w:r>
    </w:p>
    <w:p>
      <w:pPr>
        <w:pStyle w:val="Normal"/>
        <w:spacing w:lineRule="auto" w:line="480"/>
        <w:rPr/>
      </w:pPr>
      <w:r>
        <w:rPr/>
        <w:tab/>
        <w:t>Three basic products are set forth in the Service Schedules.  Service Schedule A is the Economy Energy Service Schedule.  The energy is subject to interruption upon notification.  The stipulated damages provisions do not apply to Economy Energy unless the parties agree.  Service Schedule B details Unit Commitment Service which covers sales from specific generating units.  This service may be curtailed when the unit is unavailable, to prevent system separation during emergencies, to allow the Seller to meet any public utility obligations, due to the unavailability of transmission service, or based upon other mutually agreed to conditions.  Service Schedule C details the requirements for firm power.  In general, firm power may be interrupted without the payment of damages only for force majeure events or based upon mutually agreed to conditions.  Seller is responsible for ensuring that Service Schedule C transactions are scheduled as firm consistent with the most recent rules adopted by the applicable NERC regional reliability council.  The WSPP Agreement also provides for the sale of physically settled options for both Service Schedule B and C power.</w:t>
      </w:r>
    </w:p>
    <w:p>
      <w:pPr>
        <w:pStyle w:val="NORMALDOUBLESPACED"/>
        <w:rPr/>
      </w:pPr>
      <w:r>
        <w:rPr/>
        <w:tab/>
        <w:t>The most contentious recent issue relating to the WSPP products involved the firm product.  There was substantial disagreement as to what was meant by firm.  Some members stated that firm must be physical firm backed by reserves.  Others stated that so long as damages were paid for non-performance that the power could be firm.  At one time, the WSPP had two separate firm products, essentially one was physical firm and the other was financial firm.  After much debate, the WSPP membership agreed to a definition which imposed on the seller the obligation to ensure that the power is scheduled as firm consistent with regional reliability council requirements.  Service Sch. C, Section C-3.10.</w:t>
      </w:r>
    </w:p>
    <w:p>
      <w:pPr>
        <w:pStyle w:val="Normal"/>
        <w:spacing w:lineRule="auto" w:line="480"/>
        <w:rPr/>
      </w:pPr>
      <w:r>
        <w:rPr/>
        <w:tab/>
        <w:t>The most recent issues involve the addition of new products.  Various new or tailored products are being sold that differ somewhat from the WSPP products.  Under the WSPP Agreement, those different products can be reflected in a Confirmation Agreement.  The issue, however, is whether a new Service Schedule D should be added to include those products.</w:t>
      </w:r>
      <w:r>
        <w:rPr>
          <w:rStyle w:val="FootnoteCharacters"/>
          <w:rStyle w:val="FootnoteReference"/>
        </w:rPr>
        <w:footnoteReference w:id="11"/>
      </w:r>
      <w:r>
        <w:rPr/>
        <w:t xml:space="preserve">  The issue is as yet unresolved.</w:t>
      </w:r>
    </w:p>
    <w:p>
      <w:pPr>
        <w:pStyle w:val="NORMALDOUBLESPACED"/>
        <w:rPr/>
      </w:pPr>
      <w:r>
        <w:rPr/>
        <w:tab/>
      </w:r>
      <w:r>
        <w:rPr>
          <w:b/>
        </w:rPr>
        <w:t>Force Majeure</w:t>
      </w:r>
    </w:p>
    <w:p>
      <w:pPr>
        <w:pStyle w:val="Normal"/>
        <w:spacing w:lineRule="auto" w:line="480"/>
        <w:rPr/>
      </w:pPr>
      <w:r>
        <w:rPr/>
        <w:tab/>
        <w:t>Section 10 of the WSPP Agreement contains a force majeure provision.  In many respects, it is a standard force majeure provision in that it allows non-performance based on a list of circumstances beyond a party’s control not overcome by efforts subject to a due diligence standard.  Section 10 clearly states that uncontrollable force is an event or circumstance which prevents performance.  Section 10 does contain some special provisions specifically developed for electric power sales.  First, it excludes from the definition of uncontrollable forces “the price of electricity faced by Seller” or “Purchaser’s inability due to price to use or resell the power purchased hereunder.”  The events of the Summer of 1998 in the Midwest in which parties were considering declaring force majeure due to extraordinarily high prices helped to cause the addition of this language.</w:t>
      </w:r>
      <w:r>
        <w:rPr>
          <w:rStyle w:val="FootnoteCharacters"/>
          <w:rStyle w:val="FootnoteReference"/>
        </w:rPr>
        <w:footnoteReference w:id="12"/>
      </w:r>
      <w:r>
        <w:rPr/>
        <w:t xml:space="preserve">  In addition a Texas decision, </w:t>
      </w:r>
      <w:r>
        <w:rPr>
          <w:u w:val="single"/>
        </w:rPr>
        <w:t>Tejas Power Corp. v. Amerada Hess Corp.</w:t>
      </w:r>
      <w:r>
        <w:rPr/>
        <w:t>, 1999 Tex. App LEXIS 6014 (Ct. App. Tex., 14</w:t>
      </w:r>
      <w:r>
        <w:rPr>
          <w:vertAlign w:val="superscript"/>
        </w:rPr>
        <w:t>th</w:t>
      </w:r>
      <w:r>
        <w:rPr/>
        <w:t xml:space="preserve"> Dist. 1999) (unpublished opinion), demonstrated that a revision may be appropriate.  In that case, a Texas court found that higher prices (five times normal) due to natural gas well freeze-offs justified a declaration of force majeure.  Given the fact that electric prices at times have been more than 100 times the normal price, the finding in this case was of concern.</w:t>
      </w:r>
      <w:r>
        <w:rPr>
          <w:rStyle w:val="FootnoteCharacters"/>
          <w:rStyle w:val="FootnoteReference"/>
        </w:rPr>
        <w:footnoteReference w:id="13"/>
      </w:r>
    </w:p>
    <w:p>
      <w:pPr>
        <w:pStyle w:val="Normal"/>
        <w:spacing w:lineRule="auto" w:line="480"/>
        <w:rPr/>
      </w:pPr>
      <w:r>
        <w:rPr/>
        <w:tab/>
        <w:t>Another important aspect of the WSPP force majeure provision is the way in which it addresses transmission outages.  This language was included because of the uncertainty under a standard force majeure clause as to whether a transmission interruption represents a force majeure event.</w:t>
      </w:r>
      <w:r>
        <w:rPr>
          <w:rStyle w:val="FootnoteCharacters"/>
          <w:rStyle w:val="FootnoteReference"/>
        </w:rPr>
        <w:footnoteReference w:id="14"/>
      </w:r>
      <w:r>
        <w:rPr/>
        <w:t xml:space="preserve">  Also language was included to address transmission over the Intertie facilities between the Northwest and California.  Specifically, a transmission interruption would be considered a force majeure event in two circumstances: (1) if the Parties agreed on a transmission path at the time the transaction was entered into and firm transmission was obtained; or (2) if firm transmission was obtained, transmission was interrupted due to an event of Force Majeure or provision of like effect, and the Party which contracted for the transmission service could not obtain alternate energy at the delivery point, alternate transmission services, or alternate means of delivering energy after exercising due diligence.</w:t>
      </w:r>
    </w:p>
    <w:p>
      <w:pPr>
        <w:pStyle w:val="Normal"/>
        <w:spacing w:lineRule="auto" w:line="480"/>
        <w:rPr>
          <w:b/>
        </w:rPr>
      </w:pPr>
      <w:r>
        <w:rPr>
          <w:b/>
        </w:rPr>
        <w:tab/>
        <w:t>Damages for Non-Performance</w:t>
      </w:r>
    </w:p>
    <w:p>
      <w:pPr>
        <w:pStyle w:val="Normal"/>
        <w:spacing w:lineRule="auto" w:line="480"/>
        <w:rPr/>
      </w:pPr>
      <w:r>
        <w:rPr/>
        <w:tab/>
        <w:t>Section 21 of the WSPP Agreement contains damage and waiver of liability provisions similar to those found in many power sales agreements.  These are damages for failure to perform and are not a calculation of amounts due in the event of a default.  There is an express waiver of punitive and consequential damages between the parties and of all other damages except for the stipulated damages detailed in Section 21.3.  Currently, there is no indemnification provision to protect a party from third party claims.  These stipulated damages are what is often referred to in the industry as LD’s or liquidated damages.</w:t>
      </w:r>
      <w:r>
        <w:rPr>
          <w:rStyle w:val="FootnoteCharacters"/>
          <w:rStyle w:val="FootnoteReference"/>
        </w:rPr>
        <w:footnoteReference w:id="15"/>
      </w:r>
      <w:r>
        <w:rPr/>
        <w:t xml:space="preserve">  Under the stipulated damages provision, if the Seller fails to deliver the contract amount, the buyer will receive damages equal to the replacement contract cost less the original contract cost plus the net transmission costs/savings resulting from the non-performance.  The replacement contract price either will be the actual price of substitute electric energy or absent such a purchase the market price for substitute energy.  For a buyer’s failure to take the contract amounts, the seller is entitled to damages calculated based upon the contract price less the sales price plus any net transmission costs/savings.  In calculating the sales price, either the actual price for the resale of the power will be used or absent the resale the market price for the power.  </w:t>
      </w:r>
    </w:p>
    <w:p>
      <w:pPr>
        <w:pStyle w:val="Normal"/>
        <w:spacing w:lineRule="auto" w:line="480"/>
        <w:rPr/>
      </w:pPr>
      <w:r>
        <w:rPr/>
        <w:tab/>
        <w:t>A number of issues have arisen or been discussed.  One issue is whether the damages should be greater than the “cover” damages provided for in Section 21.3.  For example, that damage calculation does not include the administrative and legal costs of finding a replacement seller or buyer.  These types of direct damages are recoverable under common law.</w:t>
      </w:r>
      <w:r>
        <w:rPr>
          <w:rStyle w:val="FootnoteCharacters"/>
          <w:rStyle w:val="FootnoteReference"/>
        </w:rPr>
        <w:footnoteReference w:id="16"/>
      </w:r>
      <w:r>
        <w:rPr/>
        <w:t xml:space="preserve">  Another issue is how is the market price calculated?  The language in the WSPP Agreement on this issue is fairly typical for the industry and does not specify how the market price will be calculated other than in a general way.  A review of the case law shows that courts calculate market price in a number of different ways.  For example, some courts have used contracts of the same length and same vintage to calculate the market price?</w:t>
      </w:r>
      <w:r>
        <w:rPr>
          <w:rStyle w:val="FootnoteCharacters"/>
          <w:rStyle w:val="FootnoteReference"/>
        </w:rPr>
        <w:footnoteReference w:id="17"/>
      </w:r>
      <w:r>
        <w:rPr/>
        <w:t xml:space="preserve">  Other courts have used the actual market price at the time of delivery?</w:t>
      </w:r>
      <w:r>
        <w:rPr>
          <w:rStyle w:val="FootnoteCharacters"/>
          <w:rStyle w:val="FootnoteReference"/>
        </w:rPr>
        <w:footnoteReference w:id="18"/>
      </w:r>
      <w:r>
        <w:rPr/>
        <w:t xml:space="preserve">  Other issues involve what indices should be used in calculating market prices and what adjustments should be made to the indices?  These types of issues have arisen in disputes involving WSPP contracts.  As a result, the WSPP Contracting Committee will be considering these issues further.</w:t>
      </w:r>
    </w:p>
    <w:p>
      <w:pPr>
        <w:pStyle w:val="Normal"/>
        <w:spacing w:lineRule="auto" w:line="480"/>
        <w:rPr/>
      </w:pPr>
      <w:r>
        <w:rPr/>
        <w:tab/>
      </w:r>
      <w:r>
        <w:rPr>
          <w:b/>
        </w:rPr>
        <w:t>Defaults</w:t>
      </w:r>
    </w:p>
    <w:p>
      <w:pPr>
        <w:pStyle w:val="Normal"/>
        <w:spacing w:lineRule="auto" w:line="480"/>
        <w:rPr/>
      </w:pPr>
      <w:r>
        <w:rPr/>
        <w:tab/>
        <w:t xml:space="preserve">Section 22 of the WSPP Agreement contains a default provision which in most respects is similar to default provisions used in the industry.  It establishes various events of default including (1) the failure to make payments, including payments for non-performance, not remedied within two business days of written notice; (2) the failure to provide adequate assurances of ability to perform; (3) the institution of bankruptcy proceedings; and (4) the failure to provide clear and good title or to have made accurate representations and warranties.  </w:t>
      </w:r>
    </w:p>
    <w:p>
      <w:pPr>
        <w:pStyle w:val="Normal"/>
        <w:spacing w:lineRule="auto" w:line="480"/>
        <w:rPr/>
      </w:pPr>
      <w:r>
        <w:rPr/>
        <w:tab/>
        <w:t>In the event of a default, the non-defaulting party has the ability to terminate and liquidate all transactions between the two parties under the WSPP Agreement.  The liquidation payments will be based on market prices, present valued.  The net liquidation amounts are to be paid within three business days.</w:t>
      </w:r>
    </w:p>
    <w:p>
      <w:pPr>
        <w:pStyle w:val="Normal"/>
        <w:spacing w:lineRule="auto" w:line="480"/>
        <w:rPr/>
      </w:pPr>
      <w:r>
        <w:rPr/>
        <w:tab/>
        <w:t>One difference between the WSPP Agreement default provision and default provisions in some other power sales agreements is the breadth of the provision and the amount of discretion provided to the seller to invoke the provision.  Some contracts contain provisions allowing the seller to begin liquidation if it determines that there is a material breach.</w:t>
      </w:r>
      <w:r>
        <w:rPr>
          <w:rStyle w:val="FootnoteCharacters"/>
          <w:rStyle w:val="FootnoteReference"/>
        </w:rPr>
        <w:footnoteReference w:id="19"/>
      </w:r>
      <w:r>
        <w:rPr/>
        <w:t xml:space="preserve">  Because of the draconian nature of a declaration of default, many WSPP members would not agree to such broad language.  Instead, a review of the agreement was undertaken to determine the provisions, the breach of which would be important enough to justify a default.  The end result was the language establishing the failure to provide good and clear title or to have made accurate representations as events of default.</w:t>
      </w:r>
    </w:p>
    <w:p>
      <w:pPr>
        <w:pStyle w:val="Normal"/>
        <w:keepNext w:val="true"/>
        <w:spacing w:lineRule="auto" w:line="480"/>
        <w:rPr>
          <w:b/>
        </w:rPr>
      </w:pPr>
      <w:r>
        <w:rPr>
          <w:b/>
        </w:rPr>
        <w:t>Payment</w:t>
      </w:r>
    </w:p>
    <w:p>
      <w:pPr>
        <w:pStyle w:val="Normal"/>
        <w:spacing w:lineRule="auto" w:line="480"/>
        <w:rPr/>
      </w:pPr>
      <w:r>
        <w:rPr/>
        <w:tab/>
        <w:t>Under Section 9, payments are to be paid on the 20</w:t>
      </w:r>
      <w:r>
        <w:rPr>
          <w:vertAlign w:val="superscript"/>
        </w:rPr>
        <w:t>th</w:t>
      </w:r>
      <w:r>
        <w:rPr/>
        <w:t xml:space="preserve"> day of the invoicing month or the tenth day after receipt of the bill.</w:t>
      </w:r>
      <w:r>
        <w:rPr>
          <w:rStyle w:val="FootnoteCharacters"/>
          <w:rStyle w:val="FootnoteReference"/>
        </w:rPr>
        <w:footnoteReference w:id="20"/>
      </w:r>
      <w:r>
        <w:rPr/>
        <w:t xml:space="preserve">  Interest for late payment is at 1 percent per month unless the parties agree otherwise.  In general, the timing of payment is consistent with industry practice.  One provision on which the industry has disagreement is whether disputed amounts should be paid pending resolution of the dispute.  Under Section 9.4, the owing Party is to pay the entire bill when due including any amounts in dispute.  In the event of the other Party’s later bankruptcy, this puts the owing Party in an advantageous position as it possesses the money.  On the other hand, the Party paying the money subject to a dispute may face issues in recovering the money if the Party receiving the money declares bankruptcy.  The Agreement provides protection to the paying party through the creditworthiness provision which allows that party to require the other party to post a letter of credit or other means of assuring payment.  Section 27.</w:t>
      </w:r>
    </w:p>
    <w:p>
      <w:pPr>
        <w:pStyle w:val="Normal"/>
        <w:keepNext w:val="true"/>
        <w:spacing w:lineRule="auto" w:line="480"/>
        <w:rPr>
          <w:b/>
        </w:rPr>
      </w:pPr>
      <w:r>
        <w:rPr>
          <w:b/>
        </w:rPr>
        <w:t>Creditworthiness</w:t>
      </w:r>
    </w:p>
    <w:p>
      <w:pPr>
        <w:pStyle w:val="BodyText"/>
        <w:jc w:val="both"/>
        <w:rPr/>
      </w:pPr>
      <w:r>
        <w:rPr/>
        <w:tab/>
        <w:t>One of the principal credit provisions in the WSPP Agreement is the creditworthiness provision in Section 27.  Under this provision if one party has a reasonable basis for questioning the other party’s ability to perform, that party may require the other party to provide a letter of credit, a cash prepayment, the posting of acceptable collateral or security, a guarantee agreement, or some other mutually agreeable method of satisfying the party demanding credit assurance.  The party receiving this demand is required to satisfy the demanding party within three business days or the demanding party can consider all WSPP transactions between the parties to be in default.</w:t>
      </w:r>
    </w:p>
    <w:p>
      <w:pPr>
        <w:pStyle w:val="Normal"/>
        <w:spacing w:lineRule="auto" w:line="480"/>
        <w:rPr/>
      </w:pPr>
      <w:r>
        <w:rPr/>
        <w:tab/>
        <w:t xml:space="preserve">These general creditworthiness provisions are similar to those found in other contracts.  Two provisions added to the WSPP Agreement are not necessarily found in other agreements.  First, the obligation of the party receiving the demand is limited to an estimate of the damages which would be due under the stipulated damages provision.  This provision was included to provide protection to the party receiving the demand that it would not be required to provide a letter of credit or deposit which far exceeded the value of the transaction.  Second, in order to provide clarity certain events were listed as justifying a demand for credit assurances, including knowledge that one party is failing to perform or is defaulting under other contracts, that party has exceeded credit or trading limits, debt ratings falling below investment grade (or if already below investment grade, falling further below investment grade); material adverse changes to one party’s financial position; and substantial changes in market prices which materially affect one party’s ability to perform.  </w:t>
      </w:r>
    </w:p>
    <w:p>
      <w:pPr>
        <w:pStyle w:val="Normal"/>
        <w:spacing w:lineRule="auto" w:line="480"/>
        <w:rPr/>
      </w:pPr>
      <w:r>
        <w:rPr/>
        <w:tab/>
        <w:t>To date, the membership has not agreed to other credit provisions such as provisions detailing credit information to be provided by one party to another.  Certain members have taken the position that required credit information will vary from company to company and needs to be negotiated individually.  However, because of recent events in California members are focusing even more on credit issues than they have in the past.</w:t>
      </w:r>
    </w:p>
    <w:p>
      <w:pPr>
        <w:pStyle w:val="Normal"/>
        <w:spacing w:lineRule="auto" w:line="480"/>
        <w:rPr/>
      </w:pPr>
      <w:r>
        <w:rPr/>
        <w:tab/>
        <w:t>Another item under development is form of credit annex agreement for parties to use if they want.  This form agreement would set out the rules governing the use of collateral to support trades.</w:t>
      </w:r>
    </w:p>
    <w:p>
      <w:pPr>
        <w:pStyle w:val="Normal"/>
        <w:keepNext w:val="true"/>
        <w:spacing w:lineRule="auto" w:line="480"/>
        <w:rPr>
          <w:b/>
        </w:rPr>
      </w:pPr>
      <w:r>
        <w:rPr>
          <w:b/>
        </w:rPr>
        <w:t>Netting</w:t>
      </w:r>
    </w:p>
    <w:p>
      <w:pPr>
        <w:pStyle w:val="Normal"/>
        <w:spacing w:lineRule="auto" w:line="480"/>
        <w:rPr/>
      </w:pPr>
      <w:r>
        <w:rPr/>
        <w:tab/>
        <w:t>Related to the credit provision is the netting provision in Section 28 involving the netting of payments due under WSPP transactions.  By netting, parties can reduce their credit risks.  The WSPP Agreement does not require parties to net.  However, if a member elects to net under Section 28.2, that member’s election will be shown on the WSPP homepage.  By that election and posting, that member will have obligated itself to net all WSPP transactions with any other party which similarly has elected to net under Section 28.2.  Currently, approximately 95 members have indicated that they will net.</w:t>
      </w:r>
    </w:p>
    <w:p>
      <w:pPr>
        <w:pStyle w:val="Normal"/>
        <w:spacing w:lineRule="auto" w:line="480"/>
        <w:rPr/>
      </w:pPr>
      <w:r>
        <w:rPr/>
        <w:tab/>
        <w:t>One netting issue that arises is the desire of members to net all transactions that they have with others whether under the WSPP Agreement or other master agreements to further reduce credit risk.  Some members have entered into umbrella netting agreements with other members to address this issue.  Currently, the WSPP is developing a form umbrella netting agreement to allow netting of all transactions between the parties.</w:t>
      </w:r>
    </w:p>
    <w:p>
      <w:pPr>
        <w:pStyle w:val="Normal"/>
        <w:spacing w:lineRule="auto" w:line="480"/>
        <w:rPr/>
      </w:pPr>
      <w:r>
        <w:rPr/>
        <w:tab/>
        <w:tab/>
      </w:r>
      <w:r>
        <w:rPr>
          <w:b/>
        </w:rPr>
        <w:t>Mediation and Dispute Resolution</w:t>
      </w:r>
    </w:p>
    <w:p>
      <w:pPr>
        <w:pStyle w:val="BodyText"/>
        <w:jc w:val="both"/>
        <w:rPr/>
      </w:pPr>
      <w:r>
        <w:rPr/>
        <w:tab/>
        <w:t>The WSPP has established its own dispute resolution procedures in order to allow disputes to be resolved at lower cost, more quickly, and through the use of more expert mediators and arbitrators.  To date, members have used WSPP mediation to resolve disputes and have been satisfied with the process and results.  By having its own mediation process, the WSPP Agreement allows members to resolve disputes without having to go through the time and expense of obtaining mediators/arbitrators through the American Arbitration Association.</w:t>
      </w:r>
    </w:p>
    <w:p>
      <w:pPr>
        <w:pStyle w:val="Normal"/>
        <w:spacing w:lineRule="auto" w:line="480"/>
        <w:rPr/>
      </w:pPr>
      <w:r>
        <w:rPr/>
        <w:tab/>
        <w:t>Under Section 34.1 of the WSPP Agreement, members are required to resort to non-binding mediation before they can proceed to litigation on a dispute.  Exhibit D to the WSPP Agreement sets out two types of mediation, informal and formal mediation.  Under the informal mediation procedures, the mediation can occur by phone with the WSPP’s General Counsel or Chairman of the Operating Committee (or someone else) serving as the mediator.  When the WSPP’s general counsel has been chosen as the mediator, the costs of the mediation are borne by the WSPP.  Formal mediation has a more formal process for initiating the formal mediation (by notice with a response), for choosing the mediator, and for conducting the mediation.</w:t>
      </w:r>
    </w:p>
    <w:p>
      <w:pPr>
        <w:pStyle w:val="Normal"/>
        <w:spacing w:lineRule="auto" w:line="480"/>
        <w:rPr/>
      </w:pPr>
      <w:r>
        <w:rPr/>
        <w:tab/>
        <w:t>Under the WSPP Agreement, the parties to a dispute are required to use binding dispute resolution for two categories of disputes involving: (1) the calculation of damages under Section 21.3; and (2) the calculation of the liquidation amounts under Section 22.  Section 34.2 of the WSPP Agreement and Exhibit D set forth the procedures for binding dispute resolution.  These procedures provide details as to how the process is initiated, responses, choosing an arbitrator, discovery, the conduct of the hearing, briefs, and the decision.</w:t>
      </w:r>
    </w:p>
    <w:p>
      <w:pPr>
        <w:pStyle w:val="Normal"/>
        <w:spacing w:lineRule="auto" w:line="480"/>
        <w:rPr/>
      </w:pPr>
      <w:r>
        <w:rPr/>
        <w:tab/>
      </w:r>
      <w:r>
        <w:rPr>
          <w:b/>
        </w:rPr>
        <w:t>Other Provisions</w:t>
      </w:r>
    </w:p>
    <w:p>
      <w:pPr>
        <w:pStyle w:val="BodyText"/>
        <w:jc w:val="both"/>
        <w:rPr/>
      </w:pPr>
      <w:r>
        <w:rPr/>
        <w:tab/>
        <w:t>The WSPP Agreement contains other provisions commonly found in power sales agreements including provisions involving confidentiality; performance, title and warranties, a forward contracts exception (included for bankruptcy set-off purposes), a trade option exception (included to make clear that the CFTC does not regulate WSPP transactions), and representations and warranties.  One item of importance in the reps and warranties section is a requirement that parties warrant their solvency and do so continually.  If a party is no longer solvent, this provides a means for the other party to immediately declare a default and terminate transactions.</w:t>
      </w:r>
    </w:p>
    <w:p>
      <w:pPr>
        <w:pStyle w:val="Normal"/>
        <w:spacing w:lineRule="auto" w:line="480"/>
        <w:rPr>
          <w:b/>
        </w:rPr>
      </w:pPr>
      <w:r>
        <w:rPr>
          <w:b/>
        </w:rPr>
        <w:t>Issues of Interest Discussed but not Reflected in the WSPP Agreement</w:t>
      </w:r>
    </w:p>
    <w:p>
      <w:pPr>
        <w:pStyle w:val="Normal"/>
        <w:spacing w:lineRule="auto" w:line="480"/>
        <w:rPr/>
      </w:pPr>
      <w:r>
        <w:rPr/>
        <w:tab/>
        <w:t>One issue which was discussed and researched at length was whether the WSPP Agreement should be modified to incorporate the Uniform Commercial Code (UCC).  The UCC applies to sales of goods.  Courts have split on whether the sale of electricity is a good.</w:t>
      </w:r>
      <w:r>
        <w:rPr>
          <w:rStyle w:val="FootnoteCharacters"/>
          <w:rStyle w:val="FootnoteReference"/>
        </w:rPr>
        <w:footnoteReference w:id="21"/>
      </w:r>
      <w:r>
        <w:rPr/>
        <w:t xml:space="preserve">  In addition, if electricity is deemed a good, there may some product liability issues.</w:t>
      </w:r>
      <w:r>
        <w:rPr>
          <w:rStyle w:val="FootnoteCharacters"/>
          <w:rStyle w:val="FootnoteReference"/>
        </w:rPr>
        <w:footnoteReference w:id="22"/>
      </w:r>
      <w:r>
        <w:rPr/>
        <w:t xml:space="preserve">  Ultimately, it was decided not to explicitly adopt the UCC as most of the key provisions of pertinence already were part of the WSPP Agreement.  </w:t>
      </w:r>
    </w:p>
    <w:p>
      <w:pPr>
        <w:pStyle w:val="Normal"/>
        <w:spacing w:lineRule="auto" w:line="480"/>
        <w:rPr/>
      </w:pPr>
      <w:r>
        <w:rPr/>
        <w:tab/>
        <w:t>Another issue involved book-outs.  Book-outs occur when parties in a chain are able to financially settle sales and purchases at the same delivery point.  Substantial litigation has occurred with regard to book-out transactions arising out of the 1998 Midwest market disorders</w:t>
      </w:r>
      <w:r>
        <w:rPr>
          <w:rStyle w:val="FootnoteCharacters"/>
          <w:rStyle w:val="FootnoteReference"/>
        </w:rPr>
        <w:footnoteReference w:id="23"/>
      </w:r>
      <w:r>
        <w:rPr/>
        <w:t xml:space="preserve"> and at the time the issue was discussed litigation was pending.  As a result, the WSPP’s members did not agree on an explicit provision addressing book-outs.</w:t>
      </w:r>
    </w:p>
    <w:p>
      <w:pPr>
        <w:pStyle w:val="Normal"/>
        <w:spacing w:lineRule="auto" w:line="480"/>
        <w:rPr>
          <w:b/>
        </w:rPr>
      </w:pPr>
      <w:r>
        <w:rPr/>
        <w:tab/>
        <w:t xml:space="preserve">Still another issue relating to the Midwest market problems in 1998 involves the authority of traders on behalf of Municipals to enter into trades.  The City of Springfield, Illinois was engaged in litigation after the summer of 1998 involving authority to enter into trades.  </w:t>
      </w:r>
      <w:r>
        <w:rPr>
          <w:u w:val="single"/>
        </w:rPr>
        <w:t>LG&amp;E Energy Marketing, Inc. v. City of Springfield, Illinois</w:t>
      </w:r>
      <w:r>
        <w:rPr/>
        <w:t>, 65 F. Supp. 2d 580 (W.D.Ky. 1999) (Springfield’s ultra vires defense was disallowed because the Court determined the state court could likely find the daily call option to purchase wholesale electrical energy served a public purpose, therefore not violating the Illinois Constitution or Public Funds Investment Act.)  This has resulted in discussions within the WSPP with regard to municipal authorization and the education of the membership on the issue.</w:t>
      </w:r>
      <w:r>
        <w:rPr>
          <w:rStyle w:val="FootnoteCharacters"/>
          <w:rStyle w:val="FootnoteReference"/>
        </w:rPr>
        <w:footnoteReference w:id="24"/>
      </w:r>
      <w:r>
        <w:rPr/>
        <w:t xml:space="preserve">  Discussions are ongoing on this issue.</w:t>
      </w:r>
    </w:p>
    <w:p>
      <w:pPr>
        <w:pStyle w:val="Normal"/>
        <w:spacing w:lineRule="auto" w:line="480"/>
        <w:rPr>
          <w:sz w:val="18"/>
        </w:rPr>
      </w:pPr>
      <w:r>
        <w:rPr>
          <w:sz w:val="18"/>
        </w:rPr>
        <w:fldChar w:fldCharType="begin"/>
      </w:r>
      <w:r>
        <w:rPr>
          <w:sz w:val="18"/>
        </w:rPr>
        <w:instrText xml:space="preserve"> FILENAME \p </w:instrText>
      </w:r>
      <w:r>
        <w:rPr>
          <w:sz w:val="18"/>
        </w:rPr>
        <w:fldChar w:fldCharType="separate"/>
      </w:r>
      <w:r>
        <w:rPr>
          <w:sz w:val="18"/>
        </w:rPr>
        <w:t>/mnt/main-storage/datasets/enron-docs/doc/SMALLPresentation.doc</w:t>
      </w:r>
      <w:r>
        <w:rPr>
          <w:sz w:val="18"/>
        </w:rPr>
        <w:fldChar w:fldCharType="end"/>
      </w:r>
    </w:p>
    <w:p>
      <w:pPr>
        <w:pStyle w:val="Normal"/>
        <w:rPr>
          <w:sz w:val="18"/>
        </w:rPr>
      </w:pPr>
      <w:r>
        <w:rPr>
          <w:sz w:val="18"/>
        </w:rPr>
      </w:r>
    </w:p>
    <w:sectPr>
      <w:footerReference w:type="default" r:id="rId5"/>
      <w:footerReference w:type="first" r:id="rId6"/>
      <w:footnotePr>
        <w:numFmt w:val="decimal"/>
      </w:footnotePr>
      <w:type w:val="nextPage"/>
      <w:pgSz w:w="12240" w:h="15840"/>
      <w:pgMar w:left="1800" w:right="1800" w:gutter="0" w:header="0" w:top="1440" w:footer="720" w:bottom="1296"/>
      <w:pgNumType w:start="1"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1" allowOverlap="1" relativeHeight="0">
              <wp:simplePos x="0" y="0"/>
              <wp:positionH relativeFrom="margin">
                <wp:align>center</wp:align>
              </wp:positionH>
              <wp:positionV relativeFrom="paragraph">
                <wp:posOffset>635</wp:posOffset>
              </wp:positionV>
              <wp:extent cx="88900" cy="20955"/>
              <wp:effectExtent l="0" t="0" r="0" b="0"/>
              <wp:wrapSquare wrapText="bothSides"/>
              <wp:docPr id="1" name="Frame1"/>
              <a:graphic xmlns:a="http://schemas.openxmlformats.org/drawingml/2006/main">
                <a:graphicData uri="http://schemas.microsoft.com/office/word/2010/wordprocessingShape">
                  <wps:wsp>
                    <wps:cNvSpPr txBox="1"/>
                    <wps:spPr>
                      <a:xfrm>
                        <a:off x="0" y="0"/>
                        <a:ext cx="88900" cy="20955"/>
                      </a:xfrm>
                      <a:prstGeom prst="rect"/>
                      <a:solidFill>
                        <a:srgbClr val="FFFFFF">
                          <a:alpha val="0"/>
                        </a:srgbClr>
                      </a:solidFill>
                    </wps:spPr>
                    <wps:txbx>
                      <w:txbxContent>
                        <w:p>
                          <w:pPr>
                            <w:pStyle w:val="Footer"/>
                            <w:rPr>
                              <w:rStyle w:val="PageNumber"/>
                              <w:sz w:val="24"/>
                            </w:rPr>
                          </w:pPr>
                          <w:r>
                            <w:rPr>
                              <w:rStyle w:val="PageNumber"/>
                              <w:sz w:val="24"/>
                            </w:rPr>
                            <w:fldChar w:fldCharType="begin"/>
                          </w:r>
                          <w:r>
                            <w:rPr>
                              <w:rStyle w:val="PageNumber"/>
                              <w:sz w:val="24"/>
                            </w:rPr>
                            <w:instrText xml:space="preserve"> PAGE </w:instrText>
                          </w:r>
                          <w:r>
                            <w:rPr>
                              <w:rStyle w:val="PageNumber"/>
                              <w:sz w:val="24"/>
                            </w:rPr>
                            <w:fldChar w:fldCharType="separate"/>
                          </w:r>
                          <w:r>
                            <w:rPr>
                              <w:rStyle w:val="PageNumber"/>
                              <w:sz w:val="24"/>
                            </w:rPr>
                            <w:t>0</w:t>
                          </w:r>
                          <w:r>
                            <w:rPr>
                              <w:rStyle w:val="PageNumber"/>
                              <w:sz w:val="24"/>
                            </w:rPr>
                            <w:fldChar w:fldCharType="end"/>
                          </w:r>
                        </w:p>
                      </w:txbxContent>
                    </wps:txbx>
                    <wps:bodyPr anchor="t" lIns="0" tIns="0" rIns="0" bIns="0">
                      <a:noAutofit/>
                    </wps:bodyPr>
                  </wps:wsp>
                </a:graphicData>
              </a:graphic>
            </wp:anchor>
          </w:drawing>
        </mc:Choice>
        <mc:Fallback>
          <w:pict>
            <v:rect fillcolor="#FFFFFF" style="position:absolute;rotation:-0;width:7pt;height:1.65pt;mso-wrap-distance-left:0pt;mso-wrap-distance-right:0pt;mso-wrap-distance-top:0pt;mso-wrap-distance-bottom:0pt;margin-top:0.05pt;mso-position-vertical-relative:text;margin-left:0pt;mso-position-horizontal:center;mso-position-horizontal-relative:margin">
              <v:fill opacity="0f"/>
              <v:textbox inset="0in,0in,0in,0in">
                <w:txbxContent>
                  <w:p>
                    <w:pPr>
                      <w:pStyle w:val="Footer"/>
                      <w:rPr>
                        <w:rStyle w:val="PageNumber"/>
                        <w:sz w:val="24"/>
                      </w:rPr>
                    </w:pPr>
                    <w:r>
                      <w:rPr>
                        <w:rStyle w:val="PageNumber"/>
                        <w:sz w:val="24"/>
                      </w:rPr>
                      <w:fldChar w:fldCharType="begin"/>
                    </w:r>
                    <w:r>
                      <w:rPr>
                        <w:rStyle w:val="PageNumber"/>
                        <w:sz w:val="24"/>
                      </w:rPr>
                      <w:instrText xml:space="preserve"> PAGE </w:instrText>
                    </w:r>
                    <w:r>
                      <w:rPr>
                        <w:rStyle w:val="PageNumber"/>
                        <w:sz w:val="24"/>
                      </w:rPr>
                      <w:fldChar w:fldCharType="separate"/>
                    </w:r>
                    <w:r>
                      <w:rPr>
                        <w:rStyle w:val="PageNumber"/>
                        <w:sz w:val="24"/>
                      </w:rPr>
                      <w:t>0</w:t>
                    </w:r>
                    <w:r>
                      <w:rPr>
                        <w:rStyle w:val="PageNumber"/>
                        <w:sz w:val="24"/>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20">
              <wp:simplePos x="0" y="0"/>
              <wp:positionH relativeFrom="margin">
                <wp:align>center</wp:align>
              </wp:positionH>
              <wp:positionV relativeFrom="paragraph">
                <wp:posOffset>635</wp:posOffset>
              </wp:positionV>
              <wp:extent cx="153035" cy="175260"/>
              <wp:effectExtent l="0" t="0" r="0" b="0"/>
              <wp:wrapSquare wrapText="bothSides"/>
              <wp:docPr id="2" name="Frame2"/>
              <a:graphic xmlns:a="http://schemas.openxmlformats.org/drawingml/2006/main">
                <a:graphicData uri="http://schemas.microsoft.com/office/word/2010/wordprocessingShape">
                  <wps:wsp>
                    <wps:cNvSpPr txBox="1"/>
                    <wps:spPr>
                      <a:xfrm>
                        <a:off x="0" y="0"/>
                        <a:ext cx="153035" cy="175260"/>
                      </a:xfrm>
                      <a:prstGeom prst="rect"/>
                      <a:solidFill>
                        <a:srgbClr val="FFFFFF">
                          <a:alpha val="0"/>
                        </a:srgbClr>
                      </a:solidFill>
                    </wps:spPr>
                    <wps:txbx>
                      <w:txbxContent>
                        <w:p>
                          <w:pPr>
                            <w:pStyle w:val="Footer"/>
                            <w:rPr/>
                          </w:pPr>
                          <w:r>
                            <w:rPr>
                              <w:rStyle w:val="PageNumber"/>
                              <w:sz w:val="24"/>
                            </w:rPr>
                            <w:fldChar w:fldCharType="begin"/>
                          </w:r>
                          <w:r>
                            <w:rPr>
                              <w:rStyle w:val="PageNumber"/>
                              <w:sz w:val="24"/>
                            </w:rPr>
                            <w:instrText xml:space="preserve"> PAGE </w:instrText>
                          </w:r>
                          <w:r>
                            <w:rPr>
                              <w:rStyle w:val="PageNumber"/>
                              <w:sz w:val="24"/>
                            </w:rPr>
                            <w:fldChar w:fldCharType="separate"/>
                          </w:r>
                          <w:r>
                            <w:rPr>
                              <w:rStyle w:val="PageNumber"/>
                              <w:sz w:val="24"/>
                            </w:rPr>
                            <w:t>20</w:t>
                          </w:r>
                          <w:r>
                            <w:rPr>
                              <w:rStyle w:val="PageNumber"/>
                              <w:sz w:val="24"/>
                            </w:rPr>
                            <w:fldChar w:fldCharType="end"/>
                          </w:r>
                        </w:p>
                      </w:txbxContent>
                    </wps:txbx>
                    <wps:bodyPr anchor="t" lIns="0" tIns="0" rIns="0" bIns="0">
                      <a:noAutofit/>
                    </wps:bodyPr>
                  </wps:wsp>
                </a:graphicData>
              </a:graphic>
            </wp:anchor>
          </w:drawing>
        </mc:Choice>
        <mc:Fallback>
          <w:pict>
            <v:rect fillcolor="#FFFFFF" style="position:absolute;rotation:-0;width:12.05pt;height:13.8pt;mso-wrap-distance-left:0pt;mso-wrap-distance-right:0pt;mso-wrap-distance-top:0pt;mso-wrap-distance-bottom:0pt;margin-top:0.05pt;mso-position-vertical-relative:text;margin-left:210pt;mso-position-horizontal:center;mso-position-horizontal-relative:margin">
              <v:fill opacity="0f"/>
              <v:textbox inset="0in,0in,0in,0in">
                <w:txbxContent>
                  <w:p>
                    <w:pPr>
                      <w:pStyle w:val="Footer"/>
                      <w:rPr/>
                    </w:pPr>
                    <w:r>
                      <w:rPr>
                        <w:rStyle w:val="PageNumber"/>
                        <w:sz w:val="24"/>
                      </w:rPr>
                      <w:fldChar w:fldCharType="begin"/>
                    </w:r>
                    <w:r>
                      <w:rPr>
                        <w:rStyle w:val="PageNumber"/>
                        <w:sz w:val="24"/>
                      </w:rPr>
                      <w:instrText xml:space="preserve"> PAGE </w:instrText>
                    </w:r>
                    <w:r>
                      <w:rPr>
                        <w:rStyle w:val="PageNumber"/>
                        <w:sz w:val="24"/>
                      </w:rPr>
                      <w:fldChar w:fldCharType="separate"/>
                    </w:r>
                    <w:r>
                      <w:rPr>
                        <w:rStyle w:val="PageNumber"/>
                        <w:sz w:val="24"/>
                      </w:rPr>
                      <w:t>20</w:t>
                    </w:r>
                    <w:r>
                      <w:rPr>
                        <w:rStyle w:val="PageNumber"/>
                        <w:sz w:val="24"/>
                      </w:rPr>
                      <w:fldChar w:fldCharType="end"/>
                    </w:r>
                  </w:p>
                </w:txbxContent>
              </v:textbox>
              <w10:wrap type="square"/>
            </v:rect>
          </w:pict>
        </mc:Fallback>
      </mc:AlternateContent>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spacing w:before="0" w:after="240"/>
        <w:ind w:hanging="720" w:start="720" w:end="0"/>
        <w:rPr/>
      </w:pPr>
      <w:r>
        <w:rPr>
          <w:rStyle w:val="FootnoteCharacters"/>
        </w:rPr>
        <w:footnoteRef/>
      </w:r>
      <w:r>
        <w:rPr/>
        <w:t xml:space="preserve"> </w:t>
      </w:r>
      <w:r>
        <w:rPr/>
        <w:tab/>
      </w:r>
      <w:r>
        <w:rPr>
          <w:u w:val="single"/>
        </w:rPr>
        <w:t>See</w:t>
      </w:r>
      <w:r>
        <w:rPr/>
        <w:t xml:space="preserve"> </w:t>
      </w:r>
      <w:r>
        <w:rPr>
          <w:u w:val="single"/>
        </w:rPr>
        <w:t>e.g.</w:t>
      </w:r>
      <w:r>
        <w:rPr/>
        <w:t xml:space="preserve"> </w:t>
      </w:r>
      <w:r>
        <w:rPr>
          <w:u w:val="single"/>
        </w:rPr>
        <w:t>Ocean State Power</w:t>
      </w:r>
      <w:r>
        <w:rPr/>
        <w:t xml:space="preserve">, 44 FERC ¶ 61,261, at 61,981 (1988) (stating that “Market-oriented pricing and a departure from traditional cost based regulation would be inappropriate if the seller could exercise market power to obtain higher prices.”  </w:t>
      </w:r>
      <w:r>
        <w:rPr>
          <w:u w:val="single"/>
        </w:rPr>
        <w:t>Id.</w:t>
      </w:r>
      <w:r>
        <w:rPr/>
        <w:t>)</w:t>
      </w:r>
    </w:p>
  </w:footnote>
  <w:footnote w:id="3">
    <w:p>
      <w:pPr>
        <w:pStyle w:val="FootnoteText"/>
        <w:spacing w:before="0" w:after="120"/>
        <w:rPr/>
      </w:pPr>
      <w:r>
        <w:rPr>
          <w:rStyle w:val="FootnoteCharacters"/>
        </w:rPr>
        <w:footnoteRef/>
      </w:r>
      <w:r>
        <w:rPr/>
        <w:t xml:space="preserve"> </w:t>
      </w:r>
      <w:r>
        <w:rPr/>
        <w:tab/>
      </w:r>
      <w:r>
        <w:rPr>
          <w:u w:val="single"/>
        </w:rPr>
        <w:t>See</w:t>
      </w:r>
      <w:r>
        <w:rPr/>
        <w:t xml:space="preserve"> </w:t>
      </w:r>
      <w:r>
        <w:rPr>
          <w:u w:val="single"/>
        </w:rPr>
        <w:t>Western Systems Power Pool</w:t>
      </w:r>
      <w:r>
        <w:rPr/>
        <w:t xml:space="preserve">, 55 FERC ¶ 61,099, at 61,321 (1991).  The cost-based caps were based on average costs for product and transmission of the utilities participating in the WSPP at that time.  </w:t>
      </w:r>
      <w:r>
        <w:rPr>
          <w:u w:val="single"/>
        </w:rPr>
        <w:t>Id.</w:t>
      </w:r>
      <w:r>
        <w:rPr/>
        <w:t xml:space="preserve"> at 61,321, 61,325.</w:t>
      </w:r>
    </w:p>
  </w:footnote>
  <w:footnote w:id="4">
    <w:p>
      <w:pPr>
        <w:pStyle w:val="FootnoteText"/>
        <w:spacing w:before="0" w:after="120"/>
        <w:rPr/>
      </w:pPr>
      <w:r>
        <w:rPr>
          <w:rStyle w:val="FootnoteCharacters"/>
        </w:rPr>
        <w:footnoteRef/>
      </w:r>
      <w:r>
        <w:rPr/>
        <w:t xml:space="preserve"> </w:t>
      </w:r>
      <w:r>
        <w:rPr/>
        <w:tab/>
        <w:t>The WSPP Agreement is designated as Western Systems Power Pool, Rate Schedule FERC No. 6.</w:t>
      </w:r>
    </w:p>
  </w:footnote>
  <w:footnote w:id="5">
    <w:p>
      <w:pPr>
        <w:pStyle w:val="FootnoteText"/>
        <w:spacing w:before="0" w:after="240"/>
        <w:ind w:hanging="720" w:start="720" w:end="0"/>
        <w:rPr/>
      </w:pPr>
      <w:r>
        <w:rPr>
          <w:rStyle w:val="FootnoteCharacters"/>
        </w:rPr>
        <w:footnoteRef/>
      </w:r>
      <w:r>
        <w:rPr/>
        <w:t xml:space="preserve"> </w:t>
      </w:r>
      <w:r>
        <w:rPr/>
        <w:tab/>
      </w:r>
      <w:r>
        <w:rPr>
          <w:u w:val="single"/>
        </w:rPr>
        <w:t>Western Systems Power Pool</w:t>
      </w:r>
      <w:r>
        <w:rPr/>
        <w:t xml:space="preserve">, 83 FERC ¶ 61,099 (1998); letter order issued Sept. 17, 1998, Docket Nos. ER97-97 </w:t>
      </w:r>
      <w:r>
        <w:rPr>
          <w:u w:val="single"/>
        </w:rPr>
        <w:t>et al.,</w:t>
      </w:r>
      <w:r>
        <w:rPr/>
        <w:t xml:space="preserve"> accepting compliance filing implementing modifications; letter order issued Sept. 9, 1999, Docket No. ER99-2763, accepting filing and rate schedule designations.</w:t>
      </w:r>
    </w:p>
  </w:footnote>
  <w:footnote w:id="6">
    <w:p>
      <w:pPr>
        <w:pStyle w:val="FootnoteText"/>
        <w:spacing w:before="0" w:after="240"/>
        <w:ind w:hanging="720" w:start="720" w:end="0"/>
        <w:rPr/>
      </w:pPr>
      <w:r>
        <w:rPr>
          <w:rStyle w:val="FootnoteCharacters"/>
        </w:rPr>
        <w:footnoteRef/>
      </w:r>
      <w:r>
        <w:rPr/>
        <w:t xml:space="preserve"> </w:t>
      </w:r>
      <w:r>
        <w:rPr/>
        <w:tab/>
      </w:r>
      <w:r>
        <w:rPr>
          <w:u w:val="single"/>
        </w:rPr>
        <w:t>Western Systems Power Pool</w:t>
      </w:r>
      <w:r>
        <w:rPr/>
        <w:t>, Order No. EA-98-C (Dept. of Energy, 1996), amended by Order No. EA-98-D (1997), amended by Order No. EA-98-E (1997), amended by Order No. EA-98-F (1998), amended by Order No. EA-98-G (2000).</w:t>
      </w:r>
    </w:p>
  </w:footnote>
  <w:footnote w:id="7">
    <w:p>
      <w:pPr>
        <w:pStyle w:val="FootnoteText"/>
        <w:rPr/>
      </w:pPr>
      <w:r>
        <w:rPr>
          <w:rStyle w:val="FootnoteCharacters"/>
        </w:rPr>
        <w:footnoteRef/>
      </w:r>
      <w:r>
        <w:rPr/>
        <w:t xml:space="preserve"> </w:t>
      </w:r>
      <w:r>
        <w:rPr/>
        <w:tab/>
        <w:t>The Restatement regarding mutual mistake provides:</w:t>
      </w:r>
    </w:p>
    <w:p>
      <w:pPr>
        <w:pStyle w:val="FootnoteText"/>
        <w:ind w:start="1440" w:end="0"/>
        <w:rPr/>
      </w:pPr>
      <w:r>
        <w:rPr/>
        <w:t>(1)</w:t>
        <w:tab/>
        <w:t>Where a mistake of both parties at the time a contract was made as to a basic assumption on which the contract was made has a material effect on the agreed exchange of performances, the contract is voidable by the adversely affected party unless he bears the risk of the mistake under the rule stated in § 154.</w:t>
      </w:r>
    </w:p>
    <w:p>
      <w:pPr>
        <w:pStyle w:val="FootnoteText"/>
        <w:ind w:start="1440" w:end="0"/>
        <w:rPr/>
      </w:pPr>
      <w:r>
        <w:rPr/>
        <w:t>(2)</w:t>
        <w:tab/>
        <w:t>In determining whether the mistake has a material effect on the agreed exchange of performances, account is taken of any relief by way of reformation, restitution, or otherwise.</w:t>
      </w:r>
    </w:p>
    <w:p>
      <w:pPr>
        <w:pStyle w:val="FootnoteText"/>
        <w:spacing w:before="0" w:after="240"/>
        <w:ind w:hanging="720" w:start="720" w:end="0"/>
        <w:rPr/>
      </w:pPr>
      <w:r>
        <w:rPr/>
        <w:tab/>
        <w:t xml:space="preserve">Restatement (2d) Contracts § 152.  </w:t>
      </w:r>
      <w:r>
        <w:rPr>
          <w:u w:val="single"/>
        </w:rPr>
        <w:t>See also</w:t>
      </w:r>
      <w:r>
        <w:rPr/>
        <w:t xml:space="preserve"> </w:t>
      </w:r>
      <w:r>
        <w:rPr>
          <w:u w:val="single"/>
        </w:rPr>
        <w:t>England v. Horbach</w:t>
      </w:r>
      <w:r>
        <w:rPr/>
        <w:t xml:space="preserve">, 944 P.2d 340, 343 (Utah 1997) </w:t>
      </w:r>
      <w:r>
        <w:rPr>
          <w:u w:val="single"/>
        </w:rPr>
        <w:t>quoting</w:t>
      </w:r>
      <w:r>
        <w:rPr/>
        <w:t xml:space="preserve"> </w:t>
      </w:r>
      <w:r>
        <w:rPr>
          <w:u w:val="single"/>
        </w:rPr>
        <w:t>Warner v. Sirstins</w:t>
      </w:r>
      <w:r>
        <w:rPr/>
        <w:t>, 838 P.2d 666, 669 (Utah Ct. App. 1992) (“A mutual mistake occurs when both parties, at the time of contracting, share a misconception about a basic assumption or vital fact upon which they based their bargain.”).</w:t>
      </w:r>
    </w:p>
  </w:footnote>
  <w:footnote w:id="8">
    <w:p>
      <w:pPr>
        <w:pStyle w:val="FootnoteText"/>
        <w:spacing w:before="0" w:after="120"/>
        <w:rPr/>
      </w:pPr>
      <w:r>
        <w:rPr>
          <w:rStyle w:val="FootnoteCharacters"/>
        </w:rPr>
        <w:footnoteRef/>
      </w:r>
      <w:r>
        <w:rPr/>
        <w:t xml:space="preserve"> </w:t>
      </w:r>
      <w:r>
        <w:rPr/>
        <w:tab/>
      </w:r>
      <w:r>
        <w:rPr>
          <w:u w:val="single"/>
        </w:rPr>
        <w:t>San Diego Gas &amp; Elec. Co. v. Sellers of Energy and Ancillary Services</w:t>
      </w:r>
      <w:r>
        <w:rPr/>
        <w:t>, 93 FERC ¶ 61,294 (2000).</w:t>
      </w:r>
    </w:p>
  </w:footnote>
  <w:footnote w:id="9">
    <w:p>
      <w:pPr>
        <w:pStyle w:val="FootnoteText"/>
        <w:spacing w:before="0" w:after="120"/>
        <w:rPr/>
      </w:pPr>
      <w:r>
        <w:rPr>
          <w:rStyle w:val="FootnoteCharacters"/>
        </w:rPr>
        <w:footnoteRef/>
      </w:r>
      <w:r>
        <w:rPr/>
        <w:t xml:space="preserve"> </w:t>
      </w:r>
      <w:r>
        <w:rPr/>
        <w:tab/>
        <w:t xml:space="preserve">Currently, only those FERC regulated entities that own generation are required to submit long term agreements with FERC.  </w:t>
      </w:r>
      <w:r>
        <w:rPr>
          <w:u w:val="single"/>
        </w:rPr>
        <w:t>Southern Company Services, Inc.</w:t>
      </w:r>
      <w:r>
        <w:rPr/>
        <w:t>, 87 FERC ¶ 61,214 at 61,849 (1999), reh’g pending.</w:t>
      </w:r>
    </w:p>
  </w:footnote>
  <w:footnote w:id="10">
    <w:p>
      <w:pPr>
        <w:pStyle w:val="FootnoteText"/>
        <w:spacing w:before="0" w:after="240"/>
        <w:ind w:hanging="720" w:start="720" w:end="0"/>
        <w:rPr/>
      </w:pPr>
      <w:r>
        <w:rPr>
          <w:rStyle w:val="FootnoteCharacters"/>
        </w:rPr>
        <w:footnoteRef/>
      </w:r>
      <w:r>
        <w:rPr/>
        <w:t xml:space="preserve"> </w:t>
      </w:r>
      <w:r>
        <w:rPr/>
        <w:tab/>
      </w:r>
      <w:r>
        <w:rPr>
          <w:u w:val="single"/>
        </w:rPr>
        <w:t>Western Resources, Inc.</w:t>
      </w:r>
      <w:r>
        <w:rPr/>
        <w:t xml:space="preserve">, 94 FERC ¶ 61,050 at 61,247 (2001) (The Commission believes “that limiting the price for sales between PSNM and Western Resources at the cost-based ceiling rates in the WSPP Agreement ― the only limitation identified by the parties ― provides adequate safe guards against the possibility that either would sell to the other at above market prices.”  </w:t>
      </w:r>
      <w:r>
        <w:rPr>
          <w:u w:val="single"/>
        </w:rPr>
        <w:t>Id.</w:t>
      </w:r>
      <w:r>
        <w:rPr/>
        <w:t>)</w:t>
      </w:r>
    </w:p>
  </w:footnote>
  <w:footnote w:id="11">
    <w:p>
      <w:pPr>
        <w:pStyle w:val="FootnoteText"/>
        <w:spacing w:before="0" w:after="240"/>
        <w:ind w:hanging="720" w:start="720" w:end="0"/>
        <w:rPr/>
      </w:pPr>
      <w:r>
        <w:rPr>
          <w:rStyle w:val="FootnoteCharacters"/>
        </w:rPr>
        <w:footnoteRef/>
      </w:r>
      <w:r>
        <w:rPr/>
        <w:t xml:space="preserve"> </w:t>
      </w:r>
      <w:r>
        <w:rPr/>
        <w:tab/>
      </w:r>
      <w:r>
        <w:rPr>
          <w:u w:val="single"/>
        </w:rPr>
        <w:t>See</w:t>
      </w:r>
      <w:r>
        <w:rPr/>
        <w:t xml:space="preserve"> WSPP Homepage (www.wspp.org) for the Cal ISO product.</w:t>
      </w:r>
    </w:p>
  </w:footnote>
  <w:footnote w:id="12">
    <w:p>
      <w:pPr>
        <w:pStyle w:val="FootnoteText"/>
        <w:spacing w:before="0" w:after="240"/>
        <w:ind w:hanging="720" w:start="720" w:end="0"/>
        <w:rPr/>
      </w:pPr>
      <w:r>
        <w:rPr>
          <w:rStyle w:val="FootnoteCharacters"/>
        </w:rPr>
        <w:footnoteRef/>
      </w:r>
      <w:r>
        <w:rPr/>
        <w:t xml:space="preserve"> </w:t>
      </w:r>
      <w:r>
        <w:rPr/>
        <w:tab/>
        <w:t>During June 25 and 26, 1998, there were substantial increases in the wholesale spot market for electricity in the Midwest.  “Next-day prices for electricity energy rose from the $25 per megawatt hour (MWh) range to as much as $2,600 per MWh, with at least one hourly price reaching $7,500 per MWh on June 25.”  Staff Report to the Federal Energy Regulatory Commission on the Causes of Wholesale Electric Pricing Abnormalities in the Midwest During June 1998 (Sept. 22, 1998).</w:t>
      </w:r>
    </w:p>
  </w:footnote>
  <w:footnote w:id="13">
    <w:p>
      <w:pPr>
        <w:pStyle w:val="FootnoteText"/>
        <w:spacing w:before="0" w:after="240"/>
        <w:ind w:hanging="720" w:start="720" w:end="0"/>
        <w:rPr/>
      </w:pPr>
      <w:r>
        <w:rPr>
          <w:rStyle w:val="FootnoteCharacters"/>
        </w:rPr>
        <w:footnoteRef/>
      </w:r>
      <w:r>
        <w:rPr/>
        <w:t xml:space="preserve"> </w:t>
      </w:r>
      <w:r>
        <w:rPr/>
        <w:tab/>
        <w:t xml:space="preserve">Other cases, however, supported the conclusion that a change in price would not be a force majeure.  </w:t>
      </w:r>
      <w:r>
        <w:rPr>
          <w:u w:val="single"/>
        </w:rPr>
        <w:t>See</w:t>
      </w:r>
      <w:r>
        <w:rPr/>
        <w:t xml:space="preserve"> </w:t>
      </w:r>
      <w:r>
        <w:rPr>
          <w:u w:val="single"/>
        </w:rPr>
        <w:t>U.S. v. Panhandle Eastern Corp.</w:t>
      </w:r>
      <w:r>
        <w:rPr/>
        <w:t xml:space="preserve">, 693 F. Supp. 88, 98 (D. Del. 1988); </w:t>
      </w:r>
      <w:r>
        <w:rPr>
          <w:u w:val="single"/>
        </w:rPr>
        <w:t>Northern Indiana Pub. Serv. Co. v. Carbon County Coal Co.</w:t>
      </w:r>
      <w:r>
        <w:rPr/>
        <w:t>, 799 F.2d 265, 275 (7</w:t>
      </w:r>
      <w:r>
        <w:rPr>
          <w:vertAlign w:val="superscript"/>
        </w:rPr>
        <w:t>th</w:t>
      </w:r>
      <w:r>
        <w:rPr/>
        <w:t xml:space="preserve"> Cir. 1986); </w:t>
      </w:r>
      <w:r>
        <w:rPr>
          <w:u w:val="single"/>
        </w:rPr>
        <w:t>Langham-Hill Petroleum, Inc. v. Southern Fuels, Co.</w:t>
      </w:r>
      <w:r>
        <w:rPr/>
        <w:t>, 813 F.2d 1327 (4</w:t>
      </w:r>
      <w:r>
        <w:rPr>
          <w:vertAlign w:val="superscript"/>
        </w:rPr>
        <w:t>th</w:t>
      </w:r>
      <w:r>
        <w:rPr/>
        <w:t xml:space="preserve"> Cir.), cert. denied, 108 S. Ct. 99 (1987) (court rules that failure to take delivery of oil after the price of oil collapsed due to actions by Saudi Arabia was a breach of contract.); </w:t>
      </w:r>
      <w:r>
        <w:rPr>
          <w:u w:val="single"/>
        </w:rPr>
        <w:t>Suburban Newspapers of Greater St. Louis, Inc. v. Kroger Co.</w:t>
      </w:r>
      <w:r>
        <w:rPr/>
        <w:t>, 886 F.2d 1060 (8</w:t>
      </w:r>
      <w:r>
        <w:rPr>
          <w:vertAlign w:val="superscript"/>
        </w:rPr>
        <w:t>th</w:t>
      </w:r>
      <w:r>
        <w:rPr/>
        <w:t xml:space="preserve"> Cir. 1989) (court rules that the force majeure clause did not apply where company intentionally closed its stores for economic reasons and thus, the closings were not beyond its reasonable control.); </w:t>
      </w:r>
      <w:r>
        <w:rPr>
          <w:u w:val="single"/>
        </w:rPr>
        <w:t>Trans Atlantic Financing v. US</w:t>
      </w:r>
      <w:r>
        <w:rPr/>
        <w:t>, 363 F.2d 312 (D.C. Cir. 1966) (added cost of alternate shipping route around Cape of Good Hope did not provide excuse where Suez Canal was not available for passage.)</w:t>
      </w:r>
    </w:p>
  </w:footnote>
  <w:footnote w:id="14">
    <w:p>
      <w:pPr>
        <w:pStyle w:val="FootnoteText"/>
        <w:spacing w:before="0" w:after="240"/>
        <w:ind w:hanging="720" w:start="720" w:end="0"/>
        <w:rPr/>
      </w:pPr>
      <w:r>
        <w:rPr>
          <w:rStyle w:val="FootnoteCharacters"/>
        </w:rPr>
        <w:footnoteRef/>
      </w:r>
      <w:r>
        <w:rPr/>
        <w:t xml:space="preserve"> </w:t>
      </w:r>
      <w:r>
        <w:rPr/>
        <w:tab/>
      </w:r>
      <w:r>
        <w:rPr>
          <w:u w:val="single"/>
        </w:rPr>
        <w:t>See</w:t>
      </w:r>
      <w:r>
        <w:rPr/>
        <w:t xml:space="preserve"> </w:t>
      </w:r>
      <w:r>
        <w:rPr>
          <w:u w:val="single"/>
        </w:rPr>
        <w:t>Gulf Oil Corp. v. FERC</w:t>
      </w:r>
      <w:r>
        <w:rPr/>
        <w:t>, 706 F.2d 444 (3</w:t>
      </w:r>
      <w:r>
        <w:rPr>
          <w:vertAlign w:val="superscript"/>
        </w:rPr>
        <w:t>rd</w:t>
      </w:r>
      <w:r>
        <w:rPr/>
        <w:t xml:space="preserve"> Cir. 1983) (To obtain a force majeure excuse, Gulf must prove that the events were “unforeseeable and infrequent” and that it “had available at the time of their occurrence more than the maximum warranted quantity of gas.  This means that it must show that the availability of the gas as well as its delivery of it was affected by the occurrence of a force majeure event.”  </w:t>
      </w:r>
      <w:r>
        <w:rPr>
          <w:u w:val="single"/>
        </w:rPr>
        <w:t>Id.</w:t>
      </w:r>
      <w:r>
        <w:rPr/>
        <w:t xml:space="preserve"> at 454.)  </w:t>
      </w:r>
      <w:r>
        <w:rPr>
          <w:u w:val="single"/>
        </w:rPr>
        <w:t>See also</w:t>
      </w:r>
      <w:r>
        <w:rPr/>
        <w:t xml:space="preserve"> </w:t>
      </w:r>
      <w:r>
        <w:rPr>
          <w:u w:val="single"/>
        </w:rPr>
        <w:t>TransAtlantic Financing</w:t>
      </w:r>
      <w:r>
        <w:rPr/>
        <w:t>, discussed in n.11.</w:t>
      </w:r>
    </w:p>
  </w:footnote>
  <w:footnote w:id="15">
    <w:p>
      <w:pPr>
        <w:pStyle w:val="FootnoteText"/>
        <w:spacing w:before="0" w:after="240"/>
        <w:ind w:hanging="720" w:start="720" w:end="0"/>
        <w:rPr/>
      </w:pPr>
      <w:r>
        <w:rPr>
          <w:rStyle w:val="FootnoteCharacters"/>
        </w:rPr>
        <w:footnoteRef/>
      </w:r>
      <w:r>
        <w:rPr/>
        <w:t xml:space="preserve"> </w:t>
      </w:r>
      <w:r>
        <w:rPr/>
        <w:tab/>
        <w:t>For the purposes of this document we refer to these damages as stipulated damages as the damage calculation provides an estimate of the damages.</w:t>
      </w:r>
    </w:p>
  </w:footnote>
  <w:footnote w:id="16">
    <w:p>
      <w:pPr>
        <w:pStyle w:val="FootnoteText"/>
        <w:spacing w:before="0" w:after="240"/>
        <w:ind w:hanging="720" w:start="720" w:end="0"/>
        <w:rPr/>
      </w:pPr>
      <w:r>
        <w:rPr>
          <w:rStyle w:val="FootnoteCharacters"/>
        </w:rPr>
        <w:footnoteRef/>
      </w:r>
      <w:r>
        <w:rPr/>
        <w:t xml:space="preserve"> </w:t>
      </w:r>
      <w:r>
        <w:rPr/>
        <w:tab/>
        <w:t xml:space="preserve">Restatement (2d) Contracts, § 347 (incidental and consequential losses are recoverable damages); UCC § 2-715; </w:t>
      </w:r>
      <w:r>
        <w:rPr>
          <w:u w:val="single"/>
        </w:rPr>
        <w:t>Colton v. Decker</w:t>
      </w:r>
      <w:r>
        <w:rPr/>
        <w:t xml:space="preserve">, 540 N.W.2d 172, 178 (S.D. 1995) (court, applying South Dakota’s codification of UCC § 2-715 permitting recovery of costs incidental to cover, allowed recovery of attorney’s fees as expenses incident to impoundment for clouded title and breach of warranty, but not for prosecuting the case.); </w:t>
      </w:r>
      <w:r>
        <w:rPr>
          <w:u w:val="single"/>
        </w:rPr>
        <w:t>but see e.g.</w:t>
      </w:r>
      <w:r>
        <w:rPr/>
        <w:t xml:space="preserve"> </w:t>
      </w:r>
      <w:r>
        <w:rPr>
          <w:u w:val="single"/>
        </w:rPr>
        <w:t>Indiana Glass Co. v. Indiana Michigan Power Co.</w:t>
      </w:r>
      <w:r>
        <w:rPr/>
        <w:t>, 692 N.E.2d 886 (Ind. Ct. App. 1998) (attorney’s fees not recoverable under Indiana’s codification of UCC 2-715, indicating that other states do not permit recovery of attorney’s fees).</w:t>
      </w:r>
    </w:p>
  </w:footnote>
  <w:footnote w:id="17">
    <w:p>
      <w:pPr>
        <w:pStyle w:val="FootnoteText"/>
        <w:spacing w:before="0" w:after="240"/>
        <w:ind w:hanging="720" w:start="720" w:end="0"/>
        <w:rPr/>
      </w:pPr>
      <w:r>
        <w:rPr>
          <w:rStyle w:val="FootnoteCharacters"/>
        </w:rPr>
        <w:footnoteRef/>
      </w:r>
      <w:r>
        <w:rPr/>
        <w:t xml:space="preserve"> </w:t>
      </w:r>
      <w:r>
        <w:rPr/>
        <w:tab/>
      </w:r>
      <w:r>
        <w:rPr>
          <w:u w:val="single"/>
        </w:rPr>
        <w:t>See</w:t>
      </w:r>
      <w:r>
        <w:rPr/>
        <w:t xml:space="preserve"> </w:t>
      </w:r>
      <w:r>
        <w:rPr>
          <w:u w:val="single"/>
        </w:rPr>
        <w:t>White v. Atlantic Richfield Co.</w:t>
      </w:r>
      <w:r>
        <w:rPr/>
        <w:t>, 945 F.2d 1130 (9</w:t>
      </w:r>
      <w:r>
        <w:rPr>
          <w:vertAlign w:val="superscript"/>
        </w:rPr>
        <w:t>th</w:t>
      </w:r>
      <w:r>
        <w:rPr/>
        <w:t xml:space="preserve"> Cir. 1991) (Court stated that evidence of similar leases in the vicinity would be relevant to determining the fair market value of the lease.); </w:t>
      </w:r>
      <w:r>
        <w:rPr>
          <w:u w:val="single"/>
        </w:rPr>
        <w:t>Kirkwood Agri-Trade v. Frosty Land Foods International, Inc.</w:t>
      </w:r>
      <w:r>
        <w:rPr/>
        <w:t>, 650 F.2d 602 (5</w:t>
      </w:r>
      <w:r>
        <w:rPr>
          <w:vertAlign w:val="superscript"/>
        </w:rPr>
        <w:t>th</w:t>
      </w:r>
      <w:r>
        <w:rPr/>
        <w:t xml:space="preserve"> Cir. 1981) (court based estimate of market price on other spot contracts).</w:t>
      </w:r>
    </w:p>
  </w:footnote>
  <w:footnote w:id="18">
    <w:p>
      <w:pPr>
        <w:pStyle w:val="FootnoteText"/>
        <w:spacing w:before="0" w:after="240"/>
        <w:ind w:hanging="720" w:start="720" w:end="0"/>
        <w:rPr/>
      </w:pPr>
      <w:r>
        <w:rPr>
          <w:rStyle w:val="FootnoteCharacters"/>
        </w:rPr>
        <w:footnoteRef/>
      </w:r>
      <w:r>
        <w:rPr/>
        <w:t xml:space="preserve"> </w:t>
      </w:r>
      <w:r>
        <w:rPr/>
        <w:tab/>
      </w:r>
      <w:r>
        <w:rPr>
          <w:u w:val="single"/>
        </w:rPr>
        <w:t>See e.g.</w:t>
      </w:r>
      <w:r>
        <w:rPr/>
        <w:t xml:space="preserve">, </w:t>
      </w:r>
      <w:r>
        <w:rPr>
          <w:u w:val="single"/>
        </w:rPr>
        <w:t>Manchester Pipeline Corp. v. Peoples Natural Gas Co.</w:t>
      </w:r>
      <w:r>
        <w:rPr/>
        <w:t>, 862 F.2d 1439 (10</w:t>
      </w:r>
      <w:r>
        <w:rPr>
          <w:vertAlign w:val="superscript"/>
        </w:rPr>
        <w:t>th</w:t>
      </w:r>
      <w:r>
        <w:rPr/>
        <w:t xml:space="preserve"> Cir. 1988) (seller’s damages for non-acceptance or repudiation calculated as “the difference between the market price at the time and place for tender and the unpaid contract price . . .”  </w:t>
      </w:r>
      <w:r>
        <w:rPr>
          <w:u w:val="single"/>
        </w:rPr>
        <w:t>Id.</w:t>
      </w:r>
      <w:r>
        <w:rPr/>
        <w:t xml:space="preserve"> at 1446 citing Okla. Stat. Tit. 12A, § 2-709.); </w:t>
      </w:r>
      <w:r>
        <w:rPr>
          <w:u w:val="single"/>
        </w:rPr>
        <w:t>Trans World Metals, Inc. v. Southwire Co.</w:t>
      </w:r>
      <w:r>
        <w:rPr/>
        <w:t xml:space="preserve">, 769 F.2d 902 (2d Cir. 1985) (Court applied UCC that seller’s damages were determined as the “difference between the market price at the time and place for tender and the unpaid contract price.”  </w:t>
      </w:r>
      <w:r>
        <w:rPr>
          <w:u w:val="single"/>
        </w:rPr>
        <w:t>Id.</w:t>
      </w:r>
      <w:r>
        <w:rPr/>
        <w:t xml:space="preserve"> at 907.)</w:t>
      </w:r>
    </w:p>
  </w:footnote>
  <w:footnote w:id="19">
    <w:p>
      <w:pPr>
        <w:pStyle w:val="FootnoteText"/>
        <w:spacing w:before="0" w:after="240"/>
        <w:ind w:hanging="720" w:start="720" w:end="0"/>
        <w:rPr/>
      </w:pPr>
      <w:r>
        <w:rPr>
          <w:rStyle w:val="FootnoteCharacters"/>
        </w:rPr>
        <w:footnoteRef/>
      </w:r>
      <w:r>
        <w:rPr/>
        <w:t xml:space="preserve"> </w:t>
      </w:r>
      <w:r>
        <w:rPr/>
        <w:tab/>
      </w:r>
      <w:r>
        <w:rPr>
          <w:u w:val="single"/>
        </w:rPr>
        <w:t>See</w:t>
      </w:r>
      <w:r>
        <w:rPr/>
        <w:t xml:space="preserve"> </w:t>
      </w:r>
      <w:r>
        <w:rPr>
          <w:u w:val="single"/>
        </w:rPr>
        <w:t>Coalville City v. Lundgren</w:t>
      </w:r>
      <w:r>
        <w:rPr/>
        <w:t xml:space="preserve">, 930 P.2d 1206 (Utah Ct. App. 1997) (“What constitutes material breach is a question of fact.”  </w:t>
      </w:r>
      <w:r>
        <w:rPr>
          <w:u w:val="single"/>
        </w:rPr>
        <w:t>Id.</w:t>
      </w:r>
      <w:r>
        <w:rPr/>
        <w:t xml:space="preserve"> at 1209.  Material breach justifying rescission has been defined as “a failure of performance which ‘defeats the very object of the contract’ or ‘[is] of such prime importance that the contract would not have been made if default in that particular had been contemplated.’”  </w:t>
      </w:r>
      <w:r>
        <w:rPr>
          <w:u w:val="single"/>
        </w:rPr>
        <w:t>Id.</w:t>
      </w:r>
      <w:r>
        <w:rPr/>
        <w:t xml:space="preserve"> at 1210 quoting </w:t>
      </w:r>
      <w:r>
        <w:rPr>
          <w:u w:val="single"/>
        </w:rPr>
        <w:t>Polyglycoat Corp. v. Helcomb</w:t>
      </w:r>
      <w:r>
        <w:rPr/>
        <w:t xml:space="preserve">, 591 P.2d 449, 551 (Utah 1979) (footnotes omitted)); </w:t>
      </w:r>
      <w:r>
        <w:rPr>
          <w:u w:val="single"/>
        </w:rPr>
        <w:t>WSG Executive Air, Inc. v. Bradley</w:t>
      </w:r>
      <w:r>
        <w:rPr/>
        <w:t xml:space="preserve">, 2001 U.S. Dist. LEXIS 493 (2001) (“In determining whether there has been a material breach, the Court must ask whether ‘the matter, in respect to which the failure of performance occurs, is of such a revenue and such importance that the contract would not have been made without it.’”  </w:t>
      </w:r>
      <w:r>
        <w:rPr>
          <w:u w:val="single"/>
        </w:rPr>
        <w:t>Id.</w:t>
      </w:r>
      <w:r>
        <w:rPr/>
        <w:t xml:space="preserve"> at *8 quoting </w:t>
      </w:r>
      <w:r>
        <w:rPr>
          <w:u w:val="single"/>
        </w:rPr>
        <w:t>Arrow Master Inc. v. Unique Forming Ltd.</w:t>
      </w:r>
      <w:r>
        <w:rPr/>
        <w:t>, 12 F.3d 709, 715 (7</w:t>
      </w:r>
      <w:r>
        <w:rPr>
          <w:vertAlign w:val="superscript"/>
        </w:rPr>
        <w:t>th</w:t>
      </w:r>
      <w:r>
        <w:rPr/>
        <w:t xml:space="preserve"> Cir. 1993)).</w:t>
      </w:r>
    </w:p>
  </w:footnote>
  <w:footnote w:id="20">
    <w:p>
      <w:pPr>
        <w:pStyle w:val="FootnoteText"/>
        <w:spacing w:before="0" w:after="240"/>
        <w:ind w:hanging="720" w:start="720" w:end="0"/>
        <w:rPr/>
      </w:pPr>
      <w:r>
        <w:rPr>
          <w:rStyle w:val="FootnoteCharacters"/>
        </w:rPr>
        <w:footnoteRef/>
      </w:r>
      <w:r>
        <w:rPr/>
        <w:t xml:space="preserve"> </w:t>
      </w:r>
      <w:r>
        <w:rPr/>
        <w:tab/>
        <w:t>One change to the WSPP agreement which is going through the process for adoption would be to specifically require option premiums to be paid within a shorter period of time.</w:t>
      </w:r>
    </w:p>
  </w:footnote>
  <w:footnote w:id="21">
    <w:p>
      <w:pPr>
        <w:pStyle w:val="Normal"/>
        <w:ind w:hanging="720" w:start="720" w:end="0"/>
        <w:rPr/>
      </w:pPr>
      <w:r>
        <w:rPr>
          <w:rStyle w:val="FootnoteCharacters"/>
        </w:rPr>
        <w:footnoteRef/>
      </w:r>
      <w:r>
        <w:rPr/>
        <w:t xml:space="preserve"> </w:t>
      </w:r>
      <w:r>
        <w:rPr/>
        <w:tab/>
        <w:t xml:space="preserve">Courts that have identified electricity as a good generally have done so where the electricity has been delivered through the customer’s meter.  </w:t>
      </w:r>
      <w:r>
        <w:rPr>
          <w:u w:val="single"/>
        </w:rPr>
        <w:t>Helvey v. Wabash Co. REMC</w:t>
      </w:r>
      <w:r>
        <w:rPr/>
        <w:t xml:space="preserve">, 278 N.E. 608, 610 (1972); </w:t>
      </w:r>
      <w:r>
        <w:rPr>
          <w:u w:val="single"/>
        </w:rPr>
        <w:t>Grant v. Southwestern Electric Power Co.</w:t>
      </w:r>
      <w:r>
        <w:rPr/>
        <w:t xml:space="preserve">, 20 S.W.3d 764, 771 (Tex. Ct. App. 2000) (court stated that since electricity itself is a consumable product, then the delivery of electricity is under the UCC.).  Other cases indicate that transmission of electricity, as opposed to delivery, is not a good within the definition of the UCC.  </w:t>
      </w:r>
      <w:r>
        <w:rPr>
          <w:u w:val="single"/>
        </w:rPr>
        <w:t>Hedges v. Public Service Co. of Indiana</w:t>
      </w:r>
      <w:r>
        <w:rPr/>
        <w:t xml:space="preserve">, 396 N.E.2d 933, 936 (Ind. Ct. App. 1979); </w:t>
      </w:r>
      <w:r>
        <w:rPr>
          <w:u w:val="single"/>
        </w:rPr>
        <w:t>Cincinnati Gas &amp; Elec. Co. v. Goebel</w:t>
      </w:r>
      <w:r>
        <w:rPr/>
        <w:t xml:space="preserve">, 502 N.E.2d 713, 715 (1986); </w:t>
      </w:r>
      <w:r>
        <w:rPr>
          <w:u w:val="single"/>
        </w:rPr>
        <w:t>see also</w:t>
      </w:r>
      <w:r>
        <w:rPr/>
        <w:t xml:space="preserve">, </w:t>
      </w:r>
      <w:r>
        <w:rPr>
          <w:u w:val="single"/>
        </w:rPr>
        <w:t>Williams v. Detroit Edison Co.</w:t>
      </w:r>
      <w:r>
        <w:rPr/>
        <w:t xml:space="preserve">, 234 N.W.2d 702, 705 (1975); </w:t>
      </w:r>
      <w:r>
        <w:rPr>
          <w:u w:val="single"/>
        </w:rPr>
        <w:t>Buckeye Union Fire Ins. Co. v. Detroit Edison Co.</w:t>
      </w:r>
      <w:r>
        <w:rPr/>
        <w:t xml:space="preserve">, 196 N.W.2d 316, 317 (1972); </w:t>
      </w:r>
      <w:r>
        <w:rPr>
          <w:u w:val="single"/>
        </w:rPr>
        <w:t>Farina v. Niagara Mohawk Power Corp.</w:t>
      </w:r>
      <w:r>
        <w:rPr/>
        <w:t xml:space="preserve">, 81 A.D.2d 700, 701 (1981) (denying electricity meets UCC definition of goods); </w:t>
      </w:r>
      <w:r>
        <w:rPr>
          <w:u w:val="single"/>
        </w:rPr>
        <w:t>New Balance Athletic Shoe, Inc. v. Boston Edison Co.</w:t>
      </w:r>
      <w:r>
        <w:rPr/>
        <w:t xml:space="preserve">, 1996 Mass. Super. LEXIS 489, *7 (Mass. Super. 1996) (court held that electricity is not a good as defined in the UCC and therefore, the warranties in the UCC do not apply.); </w:t>
      </w:r>
      <w:r>
        <w:rPr>
          <w:u w:val="single"/>
        </w:rPr>
        <w:t>G&amp;K Dairy v. Princeton Electric Plant Board</w:t>
      </w:r>
      <w:r>
        <w:rPr/>
        <w:t>, 781 F. Supp. 485 (W.D.Ky. 1991) (court found that stray voltage is not a good under the UCC).</w:t>
      </w:r>
    </w:p>
    <w:p>
      <w:pPr>
        <w:pStyle w:val="Normal"/>
        <w:rPr/>
      </w:pPr>
      <w:r>
        <w:rPr/>
      </w:r>
    </w:p>
  </w:footnote>
  <w:footnote w:id="22">
    <w:p>
      <w:pPr>
        <w:pStyle w:val="Normal"/>
        <w:ind w:hanging="720" w:start="720" w:end="0"/>
        <w:rPr/>
      </w:pPr>
      <w:r>
        <w:rPr>
          <w:rStyle w:val="FootnoteCharacters"/>
        </w:rPr>
        <w:footnoteRef/>
      </w:r>
      <w:r>
        <w:rPr/>
        <w:t xml:space="preserve"> </w:t>
      </w:r>
      <w:r>
        <w:rPr/>
        <w:tab/>
        <w:t xml:space="preserve">Products liability theories permit recovery based on negligence and strict liability in warranty or tort.  Products liability generally requires that there is a product in the stream of commerce.  The product liability cases make a similar distinction as the UCC cases between a service and product with most requiring the electricity to pass through the customers meter for it to be considered a product in the stream of commerce.  </w:t>
      </w:r>
      <w:r>
        <w:rPr>
          <w:u w:val="single"/>
        </w:rPr>
        <w:t>See e.g.</w:t>
      </w:r>
      <w:r>
        <w:rPr/>
        <w:t xml:space="preserve">, </w:t>
      </w:r>
      <w:r>
        <w:rPr>
          <w:u w:val="single"/>
        </w:rPr>
        <w:t>Ransome v. Wisconsin Electric Power Co.</w:t>
      </w:r>
      <w:r>
        <w:rPr/>
        <w:t xml:space="preserve">, 275 N.W.2d 641, 643 (1979), (“the distribution might well be a service, but the electricity itself, in the contemplation of the ordinary user, is a consumable product.”); </w:t>
      </w:r>
      <w:r>
        <w:rPr>
          <w:u w:val="single"/>
        </w:rPr>
        <w:t>Navarro County Electric Cooperative v. Prince</w:t>
      </w:r>
      <w:r>
        <w:rPr/>
        <w:t xml:space="preserve">, 640 S.W.2d 398, 399-400 (Tx. Ct. App. 1982) (court stated that, since there is no way to “adequately package or label electrical energy,” its sale should be “termed the rendition of a service.”  </w:t>
      </w:r>
      <w:r>
        <w:rPr>
          <w:u w:val="single"/>
        </w:rPr>
        <w:t>Id.</w:t>
      </w:r>
      <w:r>
        <w:rPr/>
        <w:t xml:space="preserve"> at 400).  If electricity is a good, then the UCC codification of warranty theories would apply.  </w:t>
      </w:r>
      <w:r>
        <w:rPr>
          <w:u w:val="single"/>
        </w:rPr>
        <w:t>See</w:t>
      </w:r>
      <w:r>
        <w:rPr/>
        <w:t xml:space="preserve"> UCC section 2-313 to 2-315, 2-715 (establishing express and implied warranties and providing breach of warranty remedies).  However, courts have applied the implied warranty theory even when they determined that electricity was a service and not a good.  </w:t>
      </w:r>
      <w:r>
        <w:rPr>
          <w:u w:val="single"/>
        </w:rPr>
        <w:t>See</w:t>
      </w:r>
      <w:r>
        <w:rPr/>
        <w:t xml:space="preserve"> </w:t>
      </w:r>
      <w:r>
        <w:rPr>
          <w:u w:val="single"/>
        </w:rPr>
        <w:t>Buckeye Union Fire Inc. Co. v. Detroit Edison Co.</w:t>
      </w:r>
      <w:r>
        <w:rPr/>
        <w:t xml:space="preserve">, 196 N.W.2d 316, 317-18 (1972).  Under strict tort liability, the electricity would have to be a product in the stream of commerce in a defective or unreasonably dangerous condition.  </w:t>
      </w:r>
      <w:r>
        <w:rPr>
          <w:u w:val="single"/>
        </w:rPr>
        <w:t>Bryant v. Tri-County Elec. Membership Corp.</w:t>
      </w:r>
      <w:r>
        <w:rPr/>
        <w:t xml:space="preserve">, 844 F. Supp. 347, 351-53 (W.D.Ky. 1994).  However, courts often find it unnecessary to reach the issue of whether electricity is defective once they have determined it has not yet entered the stream of commerce.  </w:t>
      </w:r>
      <w:r>
        <w:rPr>
          <w:u w:val="single"/>
        </w:rPr>
        <w:t>See, e.g.</w:t>
      </w:r>
      <w:r>
        <w:rPr/>
        <w:t xml:space="preserve">, </w:t>
      </w:r>
      <w:r>
        <w:rPr>
          <w:u w:val="single"/>
        </w:rPr>
        <w:t>Petroski v. Northern Ind. Pub. Serv. Co.</w:t>
      </w:r>
      <w:r>
        <w:rPr/>
        <w:t xml:space="preserve">, 354 N.E.2d 736, 747 (1976); </w:t>
      </w:r>
      <w:r>
        <w:rPr>
          <w:u w:val="single"/>
        </w:rPr>
        <w:t>Smithbower v. Southwest Cent. Rural. Elec. Coop.</w:t>
      </w:r>
      <w:r>
        <w:rPr/>
        <w:t xml:space="preserve">, 542 A.2d 140, 144, </w:t>
      </w:r>
      <w:r>
        <w:rPr>
          <w:u w:val="single"/>
        </w:rPr>
        <w:t>appeal denied</w:t>
      </w:r>
      <w:r>
        <w:rPr/>
        <w:t xml:space="preserve">, 555 A.2d 116 (1988). </w:t>
      </w:r>
    </w:p>
  </w:footnote>
  <w:footnote w:id="23">
    <w:p>
      <w:pPr>
        <w:pStyle w:val="FootnoteText"/>
        <w:spacing w:before="0" w:after="240"/>
        <w:ind w:hanging="720" w:start="720" w:end="0"/>
        <w:rPr/>
      </w:pPr>
      <w:r>
        <w:rPr>
          <w:rStyle w:val="FootnoteCharacters"/>
        </w:rPr>
        <w:footnoteRef/>
      </w:r>
      <w:r>
        <w:rPr/>
        <w:t xml:space="preserve"> </w:t>
      </w:r>
      <w:r>
        <w:rPr/>
        <w:tab/>
        <w:t xml:space="preserve">Midwest Price Spikes Commercial Litigation, March 2000, available in the Document Library on </w:t>
      </w:r>
      <w:hyperlink r:id="rId1">
        <w:r>
          <w:rPr>
            <w:rStyle w:val="Hyperlink"/>
          </w:rPr>
          <w:t>www.wspp.org</w:t>
        </w:r>
      </w:hyperlink>
      <w:r>
        <w:rPr/>
        <w:t xml:space="preserve"> web site.</w:t>
      </w:r>
    </w:p>
  </w:footnote>
  <w:footnote w:id="24">
    <w:p>
      <w:pPr>
        <w:pStyle w:val="FootnoteText"/>
        <w:spacing w:before="0" w:after="240"/>
        <w:ind w:hanging="720" w:start="720" w:end="0"/>
        <w:rPr/>
      </w:pPr>
      <w:r>
        <w:rPr>
          <w:rStyle w:val="FootnoteCharacters"/>
        </w:rPr>
        <w:footnoteRef/>
      </w:r>
      <w:r>
        <w:rPr/>
        <w:t xml:space="preserve"> </w:t>
      </w:r>
      <w:r>
        <w:rPr/>
        <w:tab/>
        <w:t xml:space="preserve">Generally, the purchase and sale of electric energy is considered to be a proprietary function of the municipality or public utility district, with the ability to contract limited by statute or charter.  For example, in Washington State the statute provides that a municipality may purchase electricity to furnish persons with electric current.  Rev. Code Wash (ARCW) § 54.16.040 (2000).  Case law in Washington indicates that municipalities or public utility districts are authorized to make all contracts necessary to render a system efficient and  beneficial to the public.  </w:t>
      </w:r>
      <w:r>
        <w:rPr>
          <w:u w:val="single"/>
        </w:rPr>
        <w:t>Puget Sound Power &amp; Light Co. v. PUD No. 1 of Chelan</w:t>
      </w:r>
      <w:r>
        <w:rPr/>
        <w:t xml:space="preserve">, 565 P.2d 1221, 1223 (Wash. Ct. App. 1977); </w:t>
      </w:r>
      <w:r>
        <w:rPr>
          <w:u w:val="single"/>
        </w:rPr>
        <w:t>Hite v. Public Utility District No. 2 of Grant County</w:t>
      </w:r>
      <w:r>
        <w:rPr/>
        <w:t xml:space="preserve">, 772 P.2d 481, 483 (Wash. 1989); </w:t>
      </w:r>
      <w:r>
        <w:rPr>
          <w:u w:val="single"/>
        </w:rPr>
        <w:t>City of Tacoma v. Taxpayers of the City of Tacoma</w:t>
      </w:r>
      <w:r>
        <w:rPr/>
        <w:t xml:space="preserve">, 743 P.2d 793, 800 (Wash. 1987).  Oregon statutes authorize people’s utility districts and municipal electric utilities to “enter into transactions with other persons or entities for the production, supply or delivery of electricity on an economic dependable and cost-effective basis, including financial products contracts and other service contracts that reduce the risk of economic losses in the transaction.”  ORS § 261.348 (1999).  In California, statutes carve out authority for a municipal corporation to enter into contractual agreements, Cal. Pub. Util. Code § 12721, however, a municipal corporation’s charter prescribes the mode and cases in which the municipal corporation may act.  See </w:t>
      </w:r>
      <w:r>
        <w:rPr>
          <w:u w:val="single"/>
        </w:rPr>
        <w:t>McCoy v. Briant</w:t>
      </w:r>
      <w:r>
        <w:rPr/>
        <w:t xml:space="preserve">, 53 Cal 247, 250 (Cal. 1878); </w:t>
      </w:r>
      <w:r>
        <w:rPr>
          <w:u w:val="single"/>
        </w:rPr>
        <w:t>San Diego Water Co. v. San Diego</w:t>
      </w:r>
      <w:r>
        <w:rPr/>
        <w:t>, 59 Cal 517 (Cal. 1881).</w:t>
      </w:r>
    </w:p>
  </w:footnote>
</w:footnote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footnotePr>
    <w:numFmt w:val="decimal"/>
    <w:footnote w:id="0"/>
    <w:footnote w:id="1"/>
  </w:footnotePr>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jc w:val="both"/>
    </w:pPr>
    <w:rPr>
      <w:rFonts w:ascii="Times New Roman" w:hAnsi="Times New Roman" w:eastAsia="Times New Roman" w:cs="Times New Roman"/>
      <w:color w:val="auto"/>
      <w:sz w:val="24"/>
      <w:szCs w:val="20"/>
      <w:lang w:val="en-US" w:eastAsia="zh-CN" w:bidi="hi-IN"/>
    </w:rPr>
  </w:style>
  <w:style w:type="paragraph" w:styleId="Heading1">
    <w:name w:val="heading 1"/>
    <w:basedOn w:val="Normal"/>
    <w:next w:val="Normal"/>
    <w:qFormat/>
    <w:pPr>
      <w:numPr>
        <w:ilvl w:val="0"/>
        <w:numId w:val="1"/>
      </w:numPr>
      <w:jc w:val="center"/>
      <w:outlineLvl w:val="0"/>
    </w:pPr>
    <w:rPr>
      <w:b/>
      <w:caps/>
      <w:lang w:eastAsia="en-US"/>
    </w:rPr>
  </w:style>
  <w:style w:type="paragraph" w:styleId="Heading2">
    <w:name w:val="heading 2"/>
    <w:basedOn w:val="Normal"/>
    <w:next w:val="Normal"/>
    <w:qFormat/>
    <w:pPr>
      <w:numPr>
        <w:ilvl w:val="1"/>
        <w:numId w:val="1"/>
      </w:numPr>
      <w:spacing w:before="0" w:after="240"/>
      <w:ind w:hanging="720" w:start="720" w:end="0"/>
      <w:outlineLvl w:val="1"/>
    </w:pPr>
    <w:rPr>
      <w:b/>
      <w:lang w:eastAsia="en-US"/>
    </w:rPr>
  </w:style>
  <w:style w:type="paragraph" w:styleId="Heading3">
    <w:name w:val="heading 3"/>
    <w:basedOn w:val="Normal"/>
    <w:next w:val="Normal"/>
    <w:qFormat/>
    <w:pPr>
      <w:numPr>
        <w:ilvl w:val="2"/>
        <w:numId w:val="1"/>
      </w:numPr>
      <w:spacing w:before="0" w:after="240"/>
      <w:ind w:hanging="720" w:start="1440" w:end="0"/>
      <w:outlineLvl w:val="2"/>
    </w:pPr>
    <w:rPr>
      <w:b/>
      <w:lang w:eastAsia="en-US"/>
    </w:rPr>
  </w:style>
  <w:style w:type="paragraph" w:styleId="Heading4">
    <w:name w:val="heading 4"/>
    <w:basedOn w:val="Normal"/>
    <w:next w:val="Normal"/>
    <w:qFormat/>
    <w:pPr>
      <w:numPr>
        <w:ilvl w:val="3"/>
        <w:numId w:val="1"/>
      </w:numPr>
      <w:spacing w:before="0" w:after="240"/>
      <w:ind w:hanging="720" w:start="2160" w:end="0"/>
      <w:outlineLvl w:val="3"/>
    </w:pPr>
    <w:rPr>
      <w:b/>
      <w:lang w:eastAsia="en-US"/>
    </w:rPr>
  </w:style>
  <w:style w:type="paragraph" w:styleId="Heading5">
    <w:name w:val="heading 5"/>
    <w:basedOn w:val="Normal"/>
    <w:next w:val="Normal"/>
    <w:qFormat/>
    <w:pPr>
      <w:numPr>
        <w:ilvl w:val="4"/>
        <w:numId w:val="1"/>
      </w:numPr>
      <w:spacing w:before="0" w:after="240"/>
      <w:ind w:hanging="720" w:start="2880" w:end="0"/>
      <w:outlineLvl w:val="4"/>
    </w:pPr>
    <w:rPr>
      <w:b/>
      <w:lang w:eastAsia="en-US"/>
    </w:rPr>
  </w:style>
  <w:style w:type="paragraph" w:styleId="Heading6">
    <w:name w:val="heading 6"/>
    <w:basedOn w:val="Normal"/>
    <w:next w:val="Normal"/>
    <w:qFormat/>
    <w:pPr>
      <w:numPr>
        <w:ilvl w:val="5"/>
        <w:numId w:val="1"/>
      </w:numPr>
      <w:spacing w:before="0" w:after="240"/>
      <w:ind w:hanging="720" w:start="3600" w:end="0"/>
      <w:outlineLvl w:val="5"/>
    </w:pPr>
    <w:rPr>
      <w:b/>
    </w:rPr>
  </w:style>
  <w:style w:type="paragraph" w:styleId="Heading7">
    <w:name w:val="heading 7"/>
    <w:basedOn w:val="Normal"/>
    <w:next w:val="Normal"/>
    <w:qFormat/>
    <w:pPr>
      <w:numPr>
        <w:ilvl w:val="6"/>
        <w:numId w:val="1"/>
      </w:numPr>
      <w:spacing w:before="0" w:after="240"/>
      <w:ind w:hanging="720" w:start="4320" w:end="0"/>
      <w:outlineLvl w:val="6"/>
    </w:pPr>
    <w:rPr>
      <w:b/>
    </w:rPr>
  </w:style>
  <w:style w:type="paragraph" w:styleId="Heading8">
    <w:name w:val="heading 8"/>
    <w:basedOn w:val="Normal"/>
    <w:next w:val="Normal"/>
    <w:qFormat/>
    <w:pPr>
      <w:numPr>
        <w:ilvl w:val="7"/>
        <w:numId w:val="1"/>
      </w:numPr>
      <w:spacing w:before="0" w:after="240"/>
      <w:ind w:hanging="720" w:start="5040" w:end="0"/>
      <w:outlineLvl w:val="7"/>
    </w:pPr>
    <w:rPr>
      <w:b/>
    </w:rPr>
  </w:style>
  <w:style w:type="paragraph" w:styleId="Heading9">
    <w:name w:val="heading 9"/>
    <w:basedOn w:val="Normal"/>
    <w:next w:val="Normal"/>
    <w:qFormat/>
    <w:pPr>
      <w:numPr>
        <w:ilvl w:val="8"/>
        <w:numId w:val="1"/>
      </w:numPr>
      <w:spacing w:before="0" w:after="240"/>
      <w:ind w:hanging="720" w:start="5760" w:end="0"/>
      <w:outlineLvl w:val="8"/>
    </w:pPr>
    <w:rPr>
      <w:b/>
    </w:rPr>
  </w:style>
  <w:style w:type="character" w:styleId="WW8Num1z0">
    <w:name w:val="WW8Num1z0"/>
    <w:qFormat/>
    <w:rPr>
      <w:rFonts w:ascii="Symbol" w:hAnsi="Symbol" w:cs="Symbol"/>
    </w:rPr>
  </w:style>
  <w:style w:type="character" w:styleId="WW8Num2z0">
    <w:name w:val="WW8Num2z0"/>
    <w:qFormat/>
    <w:rPr>
      <w:rFonts w:ascii="Symbol" w:hAnsi="Symbol" w:cs="Symbol"/>
    </w:rPr>
  </w:style>
  <w:style w:type="character" w:styleId="WW8Num3z0">
    <w:name w:val="WW8Num3z0"/>
    <w:qFormat/>
    <w:rPr>
      <w:rFonts w:ascii="Symbol" w:hAnsi="Symbol" w:cs="Symbol"/>
    </w:rPr>
  </w:style>
  <w:style w:type="character" w:styleId="DefaultParagraphFont">
    <w:name w:val="Default Paragraph Font"/>
    <w:qFormat/>
    <w:rPr/>
  </w:style>
  <w:style w:type="character" w:styleId="LineNumber">
    <w:name w:val="line number"/>
    <w:basedOn w:val="DefaultParagraphFont"/>
    <w:rPr>
      <w:sz w:val="24"/>
    </w:rPr>
  </w:style>
  <w:style w:type="character" w:styleId="FootnoteCharacters">
    <w:name w:val="Footnote Characters"/>
    <w:basedOn w:val="DefaultParagraphFont"/>
    <w:qFormat/>
    <w:rPr>
      <w:sz w:val="24"/>
      <w:vertAlign w:val="superscript"/>
    </w:rPr>
  </w:style>
  <w:style w:type="character" w:styleId="Hyperlink">
    <w:name w:val="Hyperlink"/>
    <w:basedOn w:val="DefaultParagraphFont"/>
    <w:rPr>
      <w:color w:val="0000FF"/>
      <w:u w:val="single"/>
    </w:rPr>
  </w:style>
  <w:style w:type="character" w:styleId="PageNumber">
    <w:name w:val="page number"/>
    <w:basedOn w:val="DefaultParagraphFont"/>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EndnoteCharacters">
    <w:name w:val="Endnote Characters"/>
    <w:qFormat/>
    <w:rPr/>
  </w:style>
  <w:style w:type="paragraph" w:styleId="Heading">
    <w:name w:val="Heading"/>
    <w:basedOn w:val="Normal"/>
    <w:next w:val="BodyText"/>
    <w:qFormat/>
    <w:pPr>
      <w:spacing w:lineRule="auto" w:line="480"/>
      <w:jc w:val="center"/>
    </w:pPr>
    <w:rPr>
      <w:b/>
    </w:rPr>
  </w:style>
  <w:style w:type="paragraph" w:styleId="BodyText">
    <w:name w:val="Body Text"/>
    <w:basedOn w:val="Normal"/>
    <w:pPr>
      <w:spacing w:lineRule="auto" w:line="480"/>
      <w:jc w:val="start"/>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FootnoteText">
    <w:name w:val="footnote text"/>
    <w:basedOn w:val="Normal"/>
    <w:pPr>
      <w:spacing w:before="0" w:after="240"/>
      <w:ind w:hanging="720" w:start="720" w:end="0"/>
    </w:pPr>
    <w:rPr/>
  </w:style>
  <w:style w:type="paragraph" w:styleId="PlainText">
    <w:name w:val="Plain Text"/>
    <w:basedOn w:val="Normal"/>
    <w:qFormat/>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rPr/>
  </w:style>
  <w:style w:type="paragraph" w:styleId="TOC1">
    <w:name w:val="toc 1"/>
    <w:basedOn w:val="Normal"/>
    <w:next w:val="Normal"/>
    <w:pPr>
      <w:spacing w:before="0" w:after="240"/>
      <w:ind w:hanging="720" w:start="720" w:end="720"/>
      <w:jc w:val="start"/>
    </w:pPr>
    <w:rPr>
      <w:caps/>
    </w:rPr>
  </w:style>
  <w:style w:type="paragraph" w:styleId="TOC2">
    <w:name w:val="toc 2"/>
    <w:basedOn w:val="Normal"/>
    <w:next w:val="Normal"/>
    <w:pPr>
      <w:spacing w:before="0" w:after="240"/>
      <w:ind w:hanging="720" w:start="1440" w:end="720"/>
      <w:jc w:val="start"/>
    </w:pPr>
    <w:rPr/>
  </w:style>
  <w:style w:type="paragraph" w:styleId="TOC3">
    <w:name w:val="toc 3"/>
    <w:basedOn w:val="Normal"/>
    <w:next w:val="Normal"/>
    <w:pPr>
      <w:spacing w:before="0" w:after="240"/>
      <w:ind w:hanging="720" w:start="2160" w:end="720"/>
      <w:jc w:val="start"/>
    </w:pPr>
    <w:rPr/>
  </w:style>
  <w:style w:type="paragraph" w:styleId="TOC4">
    <w:name w:val="toc 4"/>
    <w:basedOn w:val="Normal"/>
    <w:next w:val="Normal"/>
    <w:pPr>
      <w:spacing w:before="0" w:after="240"/>
      <w:ind w:hanging="720" w:start="2880" w:end="720"/>
      <w:jc w:val="start"/>
    </w:pPr>
    <w:rPr/>
  </w:style>
  <w:style w:type="paragraph" w:styleId="TOC5">
    <w:name w:val="toc 5"/>
    <w:basedOn w:val="Normal"/>
    <w:next w:val="Normal"/>
    <w:pPr>
      <w:spacing w:before="0" w:after="240"/>
      <w:ind w:hanging="720" w:start="3600" w:end="720"/>
      <w:jc w:val="start"/>
    </w:pPr>
    <w:rPr/>
  </w:style>
  <w:style w:type="paragraph" w:styleId="TOC6">
    <w:name w:val="toc 6"/>
    <w:basedOn w:val="Normal"/>
    <w:next w:val="Normal"/>
    <w:pPr>
      <w:spacing w:before="0" w:after="240"/>
      <w:ind w:hanging="720" w:start="4320" w:end="720"/>
      <w:jc w:val="start"/>
    </w:pPr>
    <w:rPr/>
  </w:style>
  <w:style w:type="paragraph" w:styleId="TOC7">
    <w:name w:val="toc 7"/>
    <w:basedOn w:val="Normal"/>
    <w:next w:val="Normal"/>
    <w:pPr>
      <w:spacing w:before="0" w:after="240"/>
      <w:ind w:hanging="720" w:start="5040" w:end="720"/>
      <w:jc w:val="start"/>
    </w:pPr>
    <w:rPr/>
  </w:style>
  <w:style w:type="paragraph" w:styleId="TOC8">
    <w:name w:val="toc 8"/>
    <w:basedOn w:val="Normal"/>
    <w:next w:val="Normal"/>
    <w:pPr>
      <w:spacing w:before="0" w:after="240"/>
      <w:ind w:hanging="720" w:start="5760" w:end="720"/>
      <w:jc w:val="start"/>
    </w:pPr>
    <w:rPr/>
  </w:style>
  <w:style w:type="paragraph" w:styleId="TOC9">
    <w:name w:val="toc 9"/>
    <w:basedOn w:val="Normal"/>
    <w:next w:val="Normal"/>
    <w:pPr>
      <w:spacing w:before="0" w:after="240"/>
      <w:ind w:hanging="720" w:start="6480" w:end="720"/>
      <w:jc w:val="start"/>
    </w:pPr>
    <w:rPr/>
  </w:style>
  <w:style w:type="paragraph" w:styleId="BlockText">
    <w:name w:val="Block Text"/>
    <w:basedOn w:val="Normal"/>
    <w:qFormat/>
    <w:pPr>
      <w:spacing w:before="0" w:after="240"/>
      <w:ind w:hanging="0" w:start="1440" w:end="1440"/>
    </w:pPr>
    <w:rPr/>
  </w:style>
  <w:style w:type="paragraph" w:styleId="NORMALDOUBLESPACED">
    <w:name w:val="NORMAL DOUBLE SPACED"/>
    <w:basedOn w:val="Normal"/>
    <w:qFormat/>
    <w:pPr>
      <w:spacing w:lineRule="auto" w:line="480"/>
    </w:pPr>
    <w:rPr/>
  </w:style>
  <w:style w:type="paragraph" w:styleId="Footer">
    <w:name w:val="footer"/>
    <w:basedOn w:val="Normal"/>
    <w:pPr>
      <w:tabs>
        <w:tab w:val="clear" w:pos="720"/>
        <w:tab w:val="center" w:pos="4320" w:leader="none"/>
        <w:tab w:val="right" w:pos="8640" w:leader="none"/>
      </w:tabs>
      <w:jc w:val="start"/>
    </w:pPr>
    <w:rPr>
      <w:sz w:val="20"/>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hyperlink" Target="http://www.wspp.org/" TargetMode="External"/><Relationship Id="rId5" Type="http://schemas.openxmlformats.org/officeDocument/2006/relationships/footer" Target="footer3.xml"/><Relationship Id="rId6" Type="http://schemas.openxmlformats.org/officeDocument/2006/relationships/footer" Target="footer4.xml"/><Relationship Id="rId7" Type="http://schemas.openxmlformats.org/officeDocument/2006/relationships/footnotes" Target="footnotes.xm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
</Relationships>
</file>

<file path=word/_rels/footnotes.xml.rels><?xml version="1.0" encoding="UTF-8"?>
<Relationships xmlns="http://schemas.openxmlformats.org/package/2006/relationships"><Relationship Id="rId1" Type="http://schemas.openxmlformats.org/officeDocument/2006/relationships/hyperlink" Target="http://www.wspp.org/" TargetMode="Externa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156</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2001-03-20T17:07:00Z</dcterms:created>
  <dc:creator>Denise Schuhart</dc:creator>
  <dc:description/>
  <dc:language>en-CA</dc:language>
  <cp:lastModifiedBy>Winnie Howard</cp:lastModifiedBy>
  <cp:lastPrinted>2001-03-21T12:37:00Z</cp:lastPrinted>
  <dcterms:modified xsi:type="dcterms:W3CDTF">2001-03-21T15:07:00Z</dcterms:modified>
  <cp:revision>68</cp:revision>
  <dc:subject/>
  <dc:title>THE WESTERN SYSTEMS POWER POOL</dc:title>
</cp:coreProperties>
</file>