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caps/>
        </w:rPr>
      </w:pPr>
      <w:r>
        <w:rPr>
          <w:caps/>
        </w:rPr>
        <w:t>Testimony of Steven J. Kean</w:t>
      </w:r>
    </w:p>
    <w:p>
      <w:pPr>
        <w:pStyle w:val="Normal"/>
        <w:jc w:val="center"/>
        <w:rPr>
          <w:b/>
          <w:bCs/>
          <w:caps/>
        </w:rPr>
      </w:pPr>
      <w:r>
        <w:rPr>
          <w:b/>
          <w:bCs/>
          <w:caps/>
        </w:rPr>
      </w:r>
    </w:p>
    <w:p>
      <w:pPr>
        <w:pStyle w:val="Normal"/>
        <w:jc w:val="center"/>
        <w:rPr>
          <w:b/>
          <w:bCs/>
          <w:caps/>
        </w:rPr>
      </w:pPr>
      <w:r>
        <w:rPr>
          <w:b/>
          <w:bCs/>
          <w:caps/>
        </w:rPr>
      </w:r>
    </w:p>
    <w:p>
      <w:pPr>
        <w:pStyle w:val="Normal"/>
        <w:jc w:val="center"/>
        <w:rPr>
          <w:b/>
          <w:bCs/>
          <w:caps/>
        </w:rPr>
      </w:pPr>
      <w:r>
        <w:rPr>
          <w:b/>
          <w:bCs/>
          <w:caps/>
        </w:rPr>
      </w:r>
    </w:p>
    <w:p>
      <w:pPr>
        <w:pStyle w:val="Normal"/>
        <w:jc w:val="center"/>
        <w:rPr>
          <w:b/>
          <w:bCs/>
          <w:caps/>
        </w:rPr>
      </w:pPr>
      <w:r>
        <w:rPr>
          <w:b/>
          <w:bCs/>
          <w:caps/>
        </w:rPr>
      </w:r>
    </w:p>
    <w:p>
      <w:pPr>
        <w:pStyle w:val="Normal"/>
        <w:jc w:val="center"/>
        <w:rPr>
          <w:b/>
          <w:bCs/>
          <w:caps/>
        </w:rPr>
      </w:pPr>
      <w:r>
        <w:rPr>
          <w:b/>
          <w:bCs/>
          <w:caps/>
        </w:rPr>
      </w:r>
    </w:p>
    <w:p>
      <w:pPr>
        <w:pStyle w:val="Normal"/>
        <w:jc w:val="center"/>
        <w:rPr>
          <w:b/>
          <w:bCs/>
          <w:caps/>
        </w:rPr>
      </w:pPr>
      <w:r>
        <w:rPr>
          <w:b/>
          <w:bCs/>
          <w:caps/>
        </w:rPr>
        <w:t>Enron Corp.</w:t>
      </w:r>
    </w:p>
    <w:p>
      <w:pPr>
        <w:pStyle w:val="Normal"/>
        <w:jc w:val="center"/>
        <w:rPr>
          <w:b/>
          <w:bCs/>
          <w:caps/>
        </w:rPr>
      </w:pPr>
      <w:r>
        <w:rPr>
          <w:b/>
          <w:bCs/>
          <w:caps/>
        </w:rPr>
      </w:r>
    </w:p>
    <w:p>
      <w:pPr>
        <w:pStyle w:val="Normal"/>
        <w:jc w:val="center"/>
        <w:rPr>
          <w:b/>
          <w:bCs/>
          <w:caps/>
        </w:rPr>
      </w:pPr>
      <w:r>
        <w:rPr>
          <w:b/>
          <w:bCs/>
          <w:caps/>
        </w:rPr>
      </w:r>
    </w:p>
    <w:p>
      <w:pPr>
        <w:pStyle w:val="Normal"/>
        <w:jc w:val="center"/>
        <w:rPr>
          <w:b/>
          <w:bCs/>
          <w:caps/>
        </w:rPr>
      </w:pPr>
      <w:r>
        <w:rPr>
          <w:b/>
          <w:bCs/>
          <w:caps/>
        </w:rPr>
      </w:r>
    </w:p>
    <w:p>
      <w:pPr>
        <w:pStyle w:val="Normal"/>
        <w:jc w:val="center"/>
        <w:rPr>
          <w:b/>
          <w:bCs/>
          <w:caps/>
        </w:rPr>
      </w:pPr>
      <w:r>
        <w:rPr>
          <w:b/>
          <w:bCs/>
          <w:caps/>
        </w:rPr>
      </w:r>
    </w:p>
    <w:p>
      <w:pPr>
        <w:pStyle w:val="Normal"/>
        <w:jc w:val="center"/>
        <w:rPr>
          <w:b/>
          <w:bCs/>
          <w:caps/>
        </w:rPr>
      </w:pPr>
      <w:r>
        <w:rPr>
          <w:b/>
          <w:bCs/>
          <w:caps/>
        </w:rPr>
      </w:r>
    </w:p>
    <w:p>
      <w:pPr>
        <w:pStyle w:val="Normal"/>
        <w:jc w:val="center"/>
        <w:rPr>
          <w:b/>
          <w:bCs/>
          <w:caps/>
        </w:rPr>
      </w:pPr>
      <w:r>
        <w:rPr>
          <w:b/>
          <w:bCs/>
          <w:caps/>
        </w:rPr>
        <w:t>Before the SENATE committee on</w:t>
      </w:r>
    </w:p>
    <w:p>
      <w:pPr>
        <w:pStyle w:val="Normal"/>
        <w:jc w:val="center"/>
        <w:rPr>
          <w:b/>
          <w:bCs/>
          <w:caps/>
        </w:rPr>
      </w:pPr>
      <w:r>
        <w:rPr>
          <w:b/>
          <w:bCs/>
          <w:caps/>
        </w:rPr>
        <w:t>Energy and NATURAL RESOURCES</w:t>
      </w:r>
    </w:p>
    <w:p>
      <w:pPr>
        <w:pStyle w:val="Normal"/>
        <w:jc w:val="center"/>
        <w:rPr>
          <w:b/>
          <w:bCs/>
          <w:caps/>
        </w:rPr>
      </w:pPr>
      <w:r>
        <w:rPr>
          <w:b/>
          <w:bCs/>
          <w:caps/>
        </w:rPr>
      </w:r>
    </w:p>
    <w:p>
      <w:pPr>
        <w:pStyle w:val="Normal"/>
        <w:jc w:val="center"/>
        <w:rPr>
          <w:b/>
          <w:bCs/>
          <w:caps/>
        </w:rPr>
      </w:pPr>
      <w:r>
        <w:rPr>
          <w:b/>
          <w:bCs/>
          <w:caps/>
        </w:rPr>
      </w:r>
    </w:p>
    <w:p>
      <w:pPr>
        <w:pStyle w:val="Normal"/>
        <w:jc w:val="center"/>
        <w:rPr>
          <w:b/>
          <w:bCs/>
          <w:caps/>
        </w:rPr>
      </w:pPr>
      <w:r>
        <w:rPr>
          <w:b/>
          <w:bCs/>
          <w:caps/>
        </w:rPr>
      </w:r>
    </w:p>
    <w:p>
      <w:pPr>
        <w:pStyle w:val="Normal"/>
        <w:jc w:val="center"/>
        <w:rPr>
          <w:b/>
          <w:bCs/>
          <w:caps/>
        </w:rPr>
      </w:pPr>
      <w:r>
        <w:rPr>
          <w:b/>
          <w:bCs/>
          <w:caps/>
        </w:rPr>
      </w:r>
    </w:p>
    <w:p>
      <w:pPr>
        <w:pStyle w:val="Normal"/>
        <w:jc w:val="center"/>
        <w:rPr>
          <w:b/>
          <w:bCs/>
          <w:caps/>
        </w:rPr>
      </w:pPr>
      <w:r>
        <w:rPr>
          <w:b/>
          <w:bCs/>
          <w:caps/>
        </w:rPr>
      </w:r>
    </w:p>
    <w:p>
      <w:pPr>
        <w:pStyle w:val="Normal"/>
        <w:jc w:val="center"/>
        <w:rPr>
          <w:b/>
          <w:bCs/>
          <w:caps/>
        </w:rPr>
      </w:pPr>
      <w:r>
        <w:rPr>
          <w:b/>
          <w:bCs/>
          <w:caps/>
        </w:rPr>
      </w:r>
    </w:p>
    <w:p>
      <w:pPr>
        <w:pStyle w:val="Normal"/>
        <w:jc w:val="center"/>
        <w:rPr>
          <w:b/>
          <w:bCs/>
          <w:caps/>
        </w:rPr>
      </w:pPr>
      <w:r>
        <w:rPr>
          <w:b/>
          <w:bCs/>
          <w:caps/>
        </w:rPr>
      </w:r>
    </w:p>
    <w:p>
      <w:pPr>
        <w:pStyle w:val="Normal"/>
        <w:jc w:val="center"/>
        <w:rPr>
          <w:b/>
          <w:bCs/>
          <w:caps/>
        </w:rPr>
      </w:pPr>
      <w:r>
        <w:rPr>
          <w:b/>
          <w:bCs/>
          <w:caps/>
        </w:rPr>
        <w:t>JANUARY 31, 2001</w:t>
      </w:r>
    </w:p>
    <w:p>
      <w:pPr>
        <w:pStyle w:val="Normal"/>
        <w:jc w:val="center"/>
        <w:rPr>
          <w:b/>
          <w:bCs/>
          <w:caps/>
        </w:rPr>
      </w:pPr>
      <w:r>
        <w:rPr>
          <w:b/>
          <w:bCs/>
          <w:caps/>
        </w:rPr>
      </w:r>
      <w:r>
        <w:br w:type="page"/>
      </w:r>
    </w:p>
    <w:p>
      <w:pPr>
        <w:pStyle w:val="Normal"/>
        <w:numPr>
          <w:ilvl w:val="0"/>
          <w:numId w:val="2"/>
        </w:numPr>
        <w:tabs>
          <w:tab w:val="left" w:pos="720" w:leader="none"/>
        </w:tabs>
        <w:ind w:hanging="0" w:start="0" w:end="0"/>
        <w:jc w:val="both"/>
        <w:rPr>
          <w:rFonts w:ascii="Times" w:hAnsi="Times" w:cs="Times"/>
          <w:b/>
          <w:bCs/>
          <w:u w:val="single"/>
        </w:rPr>
      </w:pPr>
      <w:r>
        <w:rPr>
          <w:rFonts w:cs="Times" w:ascii="Times" w:hAnsi="Times"/>
          <w:b/>
          <w:bCs/>
          <w:u w:val="single"/>
        </w:rPr>
        <w:t>Enron</w:t>
      </w:r>
    </w:p>
    <w:p>
      <w:pPr>
        <w:pStyle w:val="Normal"/>
        <w:jc w:val="both"/>
        <w:rPr>
          <w:rFonts w:ascii="Times" w:hAnsi="Times" w:cs="Times"/>
          <w:b/>
          <w:bCs/>
          <w:u w:val="single"/>
        </w:rPr>
      </w:pPr>
      <w:r>
        <w:rPr>
          <w:rFonts w:cs="Times" w:ascii="Times" w:hAnsi="Times"/>
          <w:b/>
          <w:bCs/>
          <w:u w:val="single"/>
        </w:rPr>
      </w:r>
    </w:p>
    <w:p>
      <w:pPr>
        <w:pStyle w:val="BodyTextIndent2"/>
        <w:rPr/>
      </w:pPr>
      <w:r>
        <w:rPr/>
        <w:t>Enron develops and operates networks around the world, primarily in energy and communications.  We combine physical assets and contract access to the physical assets of others to make markets in, among other things, energy commodities, pulp and paper, steel and other metals, and broadband capacity.  Our primary products are contracts which protect end users and producers from price volatility.</w:t>
      </w:r>
    </w:p>
    <w:p>
      <w:pPr>
        <w:pStyle w:val="Normal"/>
        <w:ind w:firstLine="720" w:end="0"/>
        <w:jc w:val="both"/>
        <w:rPr>
          <w:rFonts w:ascii="Times" w:hAnsi="Times" w:cs="Times"/>
        </w:rPr>
      </w:pPr>
      <w:r>
        <w:rPr>
          <w:rFonts w:cs="Times" w:ascii="Times" w:hAnsi="Times"/>
        </w:rPr>
      </w:r>
    </w:p>
    <w:p>
      <w:pPr>
        <w:pStyle w:val="Normal"/>
        <w:ind w:firstLine="720" w:end="0"/>
        <w:jc w:val="both"/>
        <w:rPr>
          <w:rFonts w:ascii="Times" w:hAnsi="Times" w:cs="Times"/>
        </w:rPr>
      </w:pPr>
      <w:r>
        <w:rPr>
          <w:rFonts w:cs="Times" w:ascii="Times" w:hAnsi="Times"/>
        </w:rPr>
        <w:t>Enron is the largest buyer and seller of electric power in North America and participants in power markets around the world.  As a market maker in power markets, we post prices at which we will buy and prices at which we will sell.</w:t>
      </w:r>
    </w:p>
    <w:p>
      <w:pPr>
        <w:pStyle w:val="Normal"/>
        <w:ind w:firstLine="720" w:end="0"/>
        <w:jc w:val="both"/>
        <w:rPr>
          <w:rFonts w:ascii="Times" w:hAnsi="Times" w:cs="Times"/>
        </w:rPr>
      </w:pPr>
      <w:r>
        <w:rPr>
          <w:rFonts w:cs="Times" w:ascii="Times" w:hAnsi="Times"/>
        </w:rPr>
      </w:r>
    </w:p>
    <w:p>
      <w:pPr>
        <w:pStyle w:val="BodyTextIndent2"/>
        <w:spacing w:before="0" w:after="120"/>
        <w:rPr/>
      </w:pPr>
      <w:r>
        <w:rPr/>
        <w:t>Enron’s role as a market maker gives us a uniquely objective perspective on the problems in California.</w:t>
      </w:r>
    </w:p>
    <w:p>
      <w:pPr>
        <w:pStyle w:val="Normal"/>
        <w:numPr>
          <w:ilvl w:val="0"/>
          <w:numId w:val="5"/>
        </w:numPr>
        <w:spacing w:before="0" w:after="120"/>
        <w:jc w:val="both"/>
        <w:rPr>
          <w:rFonts w:ascii="Times" w:hAnsi="Times" w:cs="Times"/>
        </w:rPr>
      </w:pPr>
      <w:r>
        <w:rPr>
          <w:rFonts w:cs="Times" w:ascii="Times" w:hAnsi="Times"/>
        </w:rPr>
        <w:t>With the exception of a few megawatts of wind facilities, Enron is not a generator in the state of California.  Enron has no interest in high power prices.</w:t>
      </w:r>
    </w:p>
    <w:p>
      <w:pPr>
        <w:pStyle w:val="Normal"/>
        <w:numPr>
          <w:ilvl w:val="0"/>
          <w:numId w:val="5"/>
        </w:numPr>
        <w:spacing w:before="0" w:after="120"/>
        <w:jc w:val="both"/>
        <w:rPr>
          <w:rFonts w:ascii="Times" w:hAnsi="Times" w:cs="Times"/>
        </w:rPr>
      </w:pPr>
      <w:r>
        <w:rPr>
          <w:rFonts w:cs="Times" w:ascii="Times" w:hAnsi="Times"/>
        </w:rPr>
        <w:t>We sell protection from price volatility to both producers and end users.  Consequently our interest in California’s power market (and the rest of the markets we operate in) is to ensure that the market works effectively.  That’s what enables us to do business.</w:t>
      </w:r>
    </w:p>
    <w:p>
      <w:pPr>
        <w:pStyle w:val="Normal"/>
        <w:numPr>
          <w:ilvl w:val="0"/>
          <w:numId w:val="5"/>
        </w:numPr>
        <w:jc w:val="both"/>
        <w:rPr>
          <w:rFonts w:ascii="Times" w:hAnsi="Times" w:cs="Times"/>
        </w:rPr>
      </w:pPr>
      <w:r>
        <w:rPr>
          <w:rFonts w:cs="Times" w:ascii="Times" w:hAnsi="Times"/>
        </w:rPr>
        <w:t xml:space="preserve">We post both purchase and sales prices.  To the extent a market participant thinks our price is too high, they can </w:t>
      </w:r>
      <w:r>
        <w:rPr>
          <w:rFonts w:cs="Times" w:ascii="Times" w:hAnsi="Times"/>
          <w:u w:val="single"/>
        </w:rPr>
        <w:t>sell</w:t>
      </w:r>
      <w:r>
        <w:rPr>
          <w:rFonts w:cs="Times" w:ascii="Times" w:hAnsi="Times"/>
        </w:rPr>
        <w:t xml:space="preserve"> to us (or buy from a competitor).</w:t>
      </w:r>
    </w:p>
    <w:p>
      <w:pPr>
        <w:pStyle w:val="Normal"/>
        <w:jc w:val="both"/>
        <w:rPr>
          <w:rFonts w:ascii="Times" w:hAnsi="Times" w:cs="Times"/>
        </w:rPr>
      </w:pPr>
      <w:r>
        <w:rPr>
          <w:rFonts w:cs="Times" w:ascii="Times" w:hAnsi="Times"/>
        </w:rPr>
      </w:r>
    </w:p>
    <w:p>
      <w:pPr>
        <w:pStyle w:val="BodyTextIndent2"/>
        <w:rPr/>
      </w:pPr>
      <w:r>
        <w:rPr/>
        <w:t>Contrary to what is reported in the papers, we are not interested in high prices in California, or anywhere else for that matter.  What we are interested in is competitive and working markets.  Moreover, our financial success last year was not built on California’s back.  Our business grew dramatically around the world and across commodities in large part because we migrated our market making activity to an online platform.  We did not have generation to profit from in the state.  But, for the first time, many market participants began to see the benefits of hedging against their commodity price risk.  Many people purchased our products - - both producers and customers.</w:t>
      </w:r>
    </w:p>
    <w:p>
      <w:pPr>
        <w:pStyle w:val="Normal"/>
        <w:ind w:start="720" w:end="0"/>
        <w:jc w:val="both"/>
        <w:rPr>
          <w:rFonts w:ascii="Times" w:hAnsi="Times" w:cs="Times"/>
        </w:rPr>
      </w:pPr>
      <w:r>
        <w:rPr>
          <w:rFonts w:cs="Times" w:ascii="Times" w:hAnsi="Times"/>
        </w:rPr>
      </w:r>
    </w:p>
    <w:p>
      <w:pPr>
        <w:pStyle w:val="BodyTextIndent2"/>
        <w:rPr/>
      </w:pPr>
      <w:r>
        <w:rPr/>
        <w:t>These distinctions are important ones.  Not because what the newspapers say about generators is true - - we believe it is not - - but because we may be unique among the participants on this panel to identify the facts and the solutions objectively.</w:t>
      </w:r>
    </w:p>
    <w:p>
      <w:pPr>
        <w:pStyle w:val="Normal"/>
        <w:jc w:val="both"/>
        <w:rPr>
          <w:rFonts w:ascii="Times" w:hAnsi="Times" w:cs="Times"/>
        </w:rPr>
      </w:pPr>
      <w:r>
        <w:rPr>
          <w:rFonts w:cs="Times" w:ascii="Times" w:hAnsi="Times"/>
        </w:rPr>
      </w:r>
    </w:p>
    <w:p>
      <w:pPr>
        <w:pStyle w:val="Heading2"/>
        <w:numPr>
          <w:ilvl w:val="0"/>
          <w:numId w:val="2"/>
        </w:numPr>
        <w:rPr/>
      </w:pPr>
      <w:r>
        <w:rPr/>
        <w:t>California</w:t>
      </w:r>
    </w:p>
    <w:p>
      <w:pPr>
        <w:pStyle w:val="Normal"/>
        <w:jc w:val="both"/>
        <w:rPr>
          <w:rFonts w:ascii="Times" w:hAnsi="Times" w:cs="Times"/>
        </w:rPr>
      </w:pPr>
      <w:r>
        <w:rPr>
          <w:rFonts w:cs="Times" w:ascii="Times" w:hAnsi="Times"/>
        </w:rPr>
      </w:r>
    </w:p>
    <w:p>
      <w:pPr>
        <w:pStyle w:val="Normal"/>
        <w:numPr>
          <w:ilvl w:val="1"/>
          <w:numId w:val="2"/>
        </w:numPr>
        <w:tabs>
          <w:tab w:val="clear" w:pos="720"/>
          <w:tab w:val="left" w:pos="1440" w:leader="none"/>
        </w:tabs>
        <w:ind w:hanging="720" w:start="1440" w:end="0"/>
        <w:jc w:val="both"/>
        <w:rPr>
          <w:rFonts w:ascii="Times" w:hAnsi="Times" w:cs="Times"/>
        </w:rPr>
      </w:pPr>
      <w:r>
        <w:rPr>
          <w:rFonts w:cs="Times" w:ascii="Times" w:hAnsi="Times"/>
          <w:u w:val="single"/>
        </w:rPr>
        <w:t>The problem</w:t>
      </w:r>
      <w:r>
        <w:rPr>
          <w:rFonts w:cs="Times" w:ascii="Times" w:hAnsi="Times"/>
        </w:rPr>
        <w:t>.  California’s current crisis has very straightforward causes:</w:t>
      </w:r>
    </w:p>
    <w:p>
      <w:pPr>
        <w:pStyle w:val="Normal"/>
        <w:jc w:val="both"/>
        <w:rPr>
          <w:rFonts w:ascii="Times" w:hAnsi="Times" w:cs="Times"/>
        </w:rPr>
      </w:pPr>
      <w:r>
        <w:rPr>
          <w:rFonts w:cs="Times" w:ascii="Times" w:hAnsi="Times"/>
        </w:rPr>
      </w:r>
    </w:p>
    <w:p>
      <w:pPr>
        <w:pStyle w:val="Normal"/>
        <w:numPr>
          <w:ilvl w:val="2"/>
          <w:numId w:val="2"/>
        </w:numPr>
        <w:spacing w:before="0" w:after="120"/>
        <w:jc w:val="both"/>
        <w:rPr>
          <w:rFonts w:ascii="Times" w:hAnsi="Times" w:cs="Times"/>
        </w:rPr>
      </w:pPr>
      <w:r>
        <w:rPr>
          <w:rFonts w:cs="Times" w:ascii="Times" w:hAnsi="Times"/>
        </w:rPr>
        <w:t>Economic growth spurred growth in the demand for electricity.</w:t>
      </w:r>
    </w:p>
    <w:p>
      <w:pPr>
        <w:pStyle w:val="Normal"/>
        <w:numPr>
          <w:ilvl w:val="2"/>
          <w:numId w:val="2"/>
        </w:numPr>
        <w:spacing w:before="0" w:after="120"/>
        <w:jc w:val="both"/>
        <w:rPr>
          <w:rFonts w:ascii="Times" w:hAnsi="Times" w:cs="Times"/>
        </w:rPr>
      </w:pPr>
      <w:r>
        <w:rPr>
          <w:rFonts w:cs="Times" w:ascii="Times" w:hAnsi="Times"/>
        </w:rPr>
        <w:t>New supply additions did not keep pace with this growth in demand.</w:t>
      </w:r>
    </w:p>
    <w:p>
      <w:pPr>
        <w:pStyle w:val="Normal"/>
        <w:numPr>
          <w:ilvl w:val="2"/>
          <w:numId w:val="2"/>
        </w:numPr>
        <w:spacing w:before="0" w:after="120"/>
        <w:jc w:val="both"/>
        <w:rPr>
          <w:rFonts w:ascii="Times" w:hAnsi="Times" w:cs="Times"/>
        </w:rPr>
      </w:pPr>
      <w:r>
        <w:rPr>
          <w:rFonts w:cs="Times" w:ascii="Times" w:hAnsi="Times"/>
        </w:rPr>
        <w:t>The state placed excessive reliance on a state-created spot market, which meant that utility buyers were exposed to price fluctuations across their entire portfolio.</w:t>
      </w:r>
    </w:p>
    <w:p>
      <w:pPr>
        <w:pStyle w:val="Normal"/>
        <w:numPr>
          <w:ilvl w:val="2"/>
          <w:numId w:val="2"/>
        </w:numPr>
        <w:spacing w:before="0" w:after="120"/>
        <w:jc w:val="both"/>
        <w:rPr>
          <w:rFonts w:ascii="Times" w:hAnsi="Times" w:cs="Times"/>
        </w:rPr>
      </w:pPr>
      <w:r>
        <w:rPr>
          <w:rFonts w:cs="Times" w:ascii="Times" w:hAnsi="Times"/>
        </w:rPr>
        <w:t>The state did not deregulate; that is, the state did not enable new entry into the supply (generation) business and did not in fact give customers choices.</w:t>
      </w:r>
    </w:p>
    <w:p>
      <w:pPr>
        <w:pStyle w:val="Normal"/>
        <w:spacing w:before="0" w:after="120"/>
        <w:jc w:val="both"/>
        <w:rPr>
          <w:rFonts w:ascii="Times" w:hAnsi="Times" w:cs="Times"/>
        </w:rPr>
      </w:pPr>
      <w:r>
        <w:rPr>
          <w:rFonts w:cs="Times" w:ascii="Times" w:hAnsi="Times"/>
        </w:rPr>
      </w:r>
    </w:p>
    <w:p>
      <w:pPr>
        <w:pStyle w:val="BodyTextIndent2"/>
        <w:rPr/>
      </w:pPr>
      <w:r>
        <w:rPr/>
        <w:t>The combination of these factors squeezed utilities between a volatile spot market and regulated customer rates, leading at first to rapid recoveries for utilities (when wholesale prices were low) and later to gigantic deficits and near bankruptcy (when wholesale prices moved up).</w:t>
      </w:r>
    </w:p>
    <w:p>
      <w:pPr>
        <w:pStyle w:val="BodyTextIndent2"/>
        <w:rPr/>
      </w:pPr>
      <w:r>
        <w:rPr/>
      </w:r>
    </w:p>
    <w:p>
      <w:pPr>
        <w:pStyle w:val="BodyTextIndent2"/>
        <w:numPr>
          <w:ilvl w:val="1"/>
          <w:numId w:val="2"/>
        </w:numPr>
        <w:tabs>
          <w:tab w:val="clear" w:pos="720"/>
          <w:tab w:val="left" w:pos="1440" w:leader="none"/>
        </w:tabs>
        <w:ind w:hanging="720" w:start="1440" w:end="0"/>
        <w:rPr/>
      </w:pPr>
      <w:r>
        <w:rPr>
          <w:u w:val="single"/>
        </w:rPr>
        <w:t>The Solutions</w:t>
      </w:r>
    </w:p>
    <w:p>
      <w:pPr>
        <w:pStyle w:val="BodyTextIndent2"/>
        <w:rPr/>
      </w:pPr>
      <w:r>
        <w:rPr/>
      </w:r>
    </w:p>
    <w:p>
      <w:pPr>
        <w:pStyle w:val="BodyTextIndent2"/>
        <w:rPr/>
      </w:pPr>
      <w:r>
        <w:rPr/>
        <w:t>Just as the problems in California are straight forward, so are the solutions.</w:t>
      </w:r>
    </w:p>
    <w:p>
      <w:pPr>
        <w:pStyle w:val="BodyTextIndent2"/>
        <w:rPr/>
      </w:pPr>
      <w:r>
        <w:rPr/>
      </w:r>
    </w:p>
    <w:p>
      <w:pPr>
        <w:pStyle w:val="BodyTextIndent2"/>
        <w:rPr/>
      </w:pPr>
      <w:r>
        <w:rPr/>
        <w:tab/>
      </w:r>
      <w:r>
        <w:rPr>
          <w:u w:val="single"/>
        </w:rPr>
        <w:t>Supply</w:t>
      </w:r>
      <w:r>
        <w:rPr/>
        <w:t>:</w:t>
      </w:r>
    </w:p>
    <w:p>
      <w:pPr>
        <w:pStyle w:val="BodyTextIndent2"/>
        <w:rPr/>
      </w:pPr>
      <w:r>
        <w:rPr/>
      </w:r>
    </w:p>
    <w:p>
      <w:pPr>
        <w:pStyle w:val="BodyTextIndent2"/>
        <w:numPr>
          <w:ilvl w:val="1"/>
          <w:numId w:val="3"/>
        </w:numPr>
        <w:rPr/>
      </w:pPr>
      <w:r>
        <w:rPr/>
        <w:t>California must allow supply to catch up with demand.  It takes 3-4 times as long to permit new generation facilities in California (as compared to other states).  This process has to be streamlined.  California needs more power now.  It must become a state priority to rapidly site and interconnect new generation.  Another way of getting at this same problem is approving and siting new and expanded transmission facilities.</w:t>
      </w:r>
    </w:p>
    <w:p>
      <w:pPr>
        <w:pStyle w:val="BodyTextIndent2"/>
        <w:ind w:hanging="0" w:start="1440" w:end="0"/>
        <w:rPr/>
      </w:pPr>
      <w:r>
        <w:rPr>
          <w:u w:val="single"/>
        </w:rPr>
        <w:t>Demand</w:t>
      </w:r>
      <w:r>
        <w:rPr/>
        <w:t>:</w:t>
      </w:r>
    </w:p>
    <w:p>
      <w:pPr>
        <w:pStyle w:val="BodyTextIndent2"/>
        <w:ind w:hanging="0" w:start="1440" w:end="0"/>
        <w:rPr/>
      </w:pPr>
      <w:r>
        <w:rPr/>
      </w:r>
    </w:p>
    <w:p>
      <w:pPr>
        <w:pStyle w:val="BodyTextIndent2"/>
        <w:numPr>
          <w:ilvl w:val="1"/>
          <w:numId w:val="4"/>
        </w:numPr>
        <w:rPr/>
      </w:pPr>
      <w:r>
        <w:rPr/>
        <w:t>California must enable demand to respond when supplies are tight.  In a true competitive market, buyers and seller are free to set mutually beneficial terms.  In California’s regulated retail environment less than 1% of customers are served by competing suppliers (the rest are still regulated utility customers).  A market place where buyers and sellers meet would change the demand picture in the following ways:</w:t>
      </w:r>
    </w:p>
    <w:p>
      <w:pPr>
        <w:pStyle w:val="BodyTextIndent2"/>
        <w:ind w:hanging="720" w:start="2880" w:end="0"/>
        <w:rPr/>
      </w:pPr>
      <w:r>
        <w:rPr/>
        <w:t>--</w:t>
        <w:tab/>
        <w:t>real time price signals would encourage conservation or shifting of demand to off peak times.</w:t>
      </w:r>
    </w:p>
    <w:p>
      <w:pPr>
        <w:pStyle w:val="BodyTextIndent2"/>
        <w:ind w:hanging="720" w:start="2880" w:end="0"/>
        <w:rPr/>
      </w:pPr>
      <w:r>
        <w:rPr/>
        <w:t>--</w:t>
        <w:tab/>
        <w:t>suppliers would offer products to encourage conservation (energy efficient equipment for example).</w:t>
      </w:r>
    </w:p>
    <w:p>
      <w:pPr>
        <w:pStyle w:val="BodyTextIndent2"/>
        <w:ind w:hanging="720" w:start="2880" w:end="0"/>
        <w:rPr/>
      </w:pPr>
      <w:r>
        <w:rPr/>
      </w:r>
    </w:p>
    <w:p>
      <w:pPr>
        <w:pStyle w:val="BodyTextIndent2"/>
        <w:ind w:start="720" w:end="0"/>
        <w:rPr/>
      </w:pPr>
      <w:r>
        <w:rPr/>
        <w:t>Demand reductions at key times drive market prices down for everyone.  To get a demand response, however, customers must see price signals from the marketplace.  In the long run, prices must be allowed to reflect the market.  In the near term, such prices would have to be introduced gradually and combined with “purchased demand reductions”.  Paying for demand reductions makes sense.  If utilities, the ISO, or the state, is willing to pay $500 for a megawatt, it ought to be willing to pay the same for a “negawat”.  New capacity cannot be brought on in time for this summer’s peaks.  But, demand reductions could be purchased with a minimum of disruption to businesses, workers and the economy.</w:t>
      </w:r>
    </w:p>
    <w:p>
      <w:pPr>
        <w:pStyle w:val="BodyTextIndent2"/>
        <w:ind w:start="720" w:end="0"/>
        <w:rPr/>
      </w:pPr>
      <w:r>
        <w:rPr/>
      </w:r>
    </w:p>
    <w:p>
      <w:pPr>
        <w:pStyle w:val="BodyTextIndent2"/>
        <w:numPr>
          <w:ilvl w:val="1"/>
          <w:numId w:val="4"/>
        </w:numPr>
        <w:spacing w:before="0" w:after="120"/>
        <w:rPr/>
      </w:pPr>
      <w:r>
        <w:rPr>
          <w:u w:val="single"/>
        </w:rPr>
        <w:t>Long term contracting</w:t>
      </w:r>
      <w:r>
        <w:rPr/>
        <w:t xml:space="preserve">:  California has recognized the importance of reducing reliance on the spot market and has started an auction process designed to shift more of the state’s demand to long term contracts.  This is sensible.  Forward power prices are “backwardated”, meaning that power prices are lower for future deliveries than they are for current deliveries.  This means that longer term contracts will produce average prices lower than today’s spot price levels, immediately reducing utilities’ costs.  However, these markets are shallow and skittish today.  Price caps and active government intervention in California’s power markets combined with financial uncertainty about the utilities’ ability to pay has built large risk premiums into bids in those markets.  If California entered into forward contracts </w:t>
      </w:r>
      <w:r>
        <w:rPr>
          <w:u w:val="single"/>
        </w:rPr>
        <w:t>after</w:t>
      </w:r>
      <w:r>
        <w:rPr/>
        <w:t xml:space="preserve"> an active program to site new transmission and generation, forward prices would be lower and more bidders would bed in greater supplies.  The sequence of the reforms needed in California is critically important.</w:t>
      </w:r>
    </w:p>
    <w:p>
      <w:pPr>
        <w:pStyle w:val="BodyTextIndent2"/>
        <w:numPr>
          <w:ilvl w:val="1"/>
          <w:numId w:val="4"/>
        </w:numPr>
        <w:rPr/>
      </w:pPr>
      <w:r>
        <w:rPr>
          <w:u w:val="single"/>
        </w:rPr>
        <w:t>Financial stability</w:t>
      </w:r>
      <w:r>
        <w:rPr/>
        <w:t>:  The creditworthiness of the state’s institutions must be maintained.  Without credit worthy buyers of power, it will be difficult to attract new generation and long term supply commitments.  The state appears to be on the right track with recently introduced legislation.</w:t>
      </w:r>
    </w:p>
    <w:p>
      <w:pPr>
        <w:pStyle w:val="BodyTextIndent2"/>
        <w:rPr/>
      </w:pPr>
      <w:r>
        <w:rPr/>
      </w:r>
    </w:p>
    <w:p>
      <w:pPr>
        <w:pStyle w:val="BodyTextIndent2"/>
        <w:ind w:start="720" w:end="0"/>
        <w:rPr/>
      </w:pPr>
      <w:r>
        <w:rPr/>
        <w:t>There are a number of solutions which should apply broadly.  For example, market price signals are essential to spurring conservation and bringing on additional supply.  Most of the demand flexibility and supply additions will come from companies and investors, rather than residential customers, Never the less, residential</w:t>
      </w:r>
    </w:p>
    <w:p>
      <w:pPr>
        <w:pStyle w:val="BodyTextIndent2"/>
        <w:rPr/>
      </w:pPr>
      <w:r>
        <w:rPr/>
      </w:r>
    </w:p>
    <w:p>
      <w:pPr>
        <w:pStyle w:val="BodyTextIndent2"/>
        <w:rPr/>
      </w:pPr>
      <w:r>
        <w:rPr/>
      </w:r>
    </w:p>
    <w:p>
      <w:pPr>
        <w:pStyle w:val="Normal"/>
        <w:rPr>
          <w:b/>
          <w:bCs/>
        </w:rPr>
      </w:pPr>
      <w:r>
        <w:rPr>
          <w:b/>
          <w:bC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1080"/>
        </w:tabs>
        <w:ind w:start="1080" w:hanging="720"/>
      </w:pPr>
      <w:rPr>
        <w:rFonts w:ascii="Times New Roman" w:hAnsi="Times New Roman" w:cs="Times New Roman"/>
      </w:rPr>
    </w:lvl>
    <w:lvl w:ilvl="1">
      <w:start w:val="1"/>
      <w:numFmt w:val="upperLetter"/>
      <w:lvlText w:val="%2."/>
      <w:lvlJc w:val="start"/>
      <w:pPr>
        <w:tabs>
          <w:tab w:val="num" w:pos="1800"/>
        </w:tabs>
        <w:ind w:start="1800" w:hanging="720"/>
      </w:pPr>
      <w:rPr/>
    </w:lvl>
    <w:lvl w:ilvl="2">
      <w:start w:val="1"/>
      <w:numFmt w:val="bullet"/>
      <w:lvlText w:val=""/>
      <w:lvlJc w:val="start"/>
      <w:pPr>
        <w:tabs>
          <w:tab w:val="num" w:pos="2016"/>
        </w:tabs>
        <w:ind w:start="2016" w:hanging="504"/>
      </w:pPr>
      <w:rPr>
        <w:rFonts w:ascii="Symbol" w:hAnsi="Symbol" w:cs="Symbol" w:hint="default"/>
        <w:color w:val="000000"/>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bullet"/>
      <w:lvlText w:val=""/>
      <w:lvlJc w:val="start"/>
      <w:pPr>
        <w:tabs>
          <w:tab w:val="num" w:pos="2736"/>
        </w:tabs>
        <w:ind w:start="2736" w:hanging="504"/>
      </w:pPr>
      <w:rPr>
        <w:rFonts w:ascii="Symbol" w:hAnsi="Symbol" w:cs="Symbol" w:hint="default"/>
        <w:color w:val="000000"/>
      </w:rPr>
    </w:lvl>
    <w:lvl w:ilvl="1">
      <w:start w:val="1"/>
      <w:numFmt w:val="bullet"/>
      <w:lvlText w:val=""/>
      <w:lvlJc w:val="start"/>
      <w:pPr>
        <w:tabs>
          <w:tab w:val="num" w:pos="2304"/>
        </w:tabs>
        <w:ind w:start="2304" w:hanging="504"/>
      </w:pPr>
      <w:rPr>
        <w:rFonts w:ascii="Symbol" w:hAnsi="Symbol" w:cs="Symbol" w:hint="default"/>
        <w:color w:val="000000"/>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4">
    <w:lvl w:ilvl="0">
      <w:start w:val="1"/>
      <w:numFmt w:val="bullet"/>
      <w:lvlText w:val=""/>
      <w:lvlJc w:val="start"/>
      <w:pPr>
        <w:tabs>
          <w:tab w:val="num" w:pos="2736"/>
        </w:tabs>
        <w:ind w:start="2736" w:hanging="504"/>
      </w:pPr>
      <w:rPr>
        <w:rFonts w:ascii="Symbol" w:hAnsi="Symbol" w:cs="Symbol" w:hint="default"/>
        <w:color w:val="000000"/>
      </w:rPr>
    </w:lvl>
    <w:lvl w:ilvl="1">
      <w:start w:val="1"/>
      <w:numFmt w:val="bullet"/>
      <w:lvlText w:val=""/>
      <w:lvlJc w:val="start"/>
      <w:pPr>
        <w:tabs>
          <w:tab w:val="num" w:pos="2304"/>
        </w:tabs>
        <w:ind w:start="2304" w:hanging="504"/>
      </w:pPr>
      <w:rPr>
        <w:rFonts w:ascii="Symbol" w:hAnsi="Symbol" w:cs="Symbol" w:hint="default"/>
        <w:color w:val="000000"/>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5">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bCs/>
      <w:u w:val="single"/>
    </w:rPr>
  </w:style>
  <w:style w:type="paragraph" w:styleId="Heading2">
    <w:name w:val="heading 2"/>
    <w:basedOn w:val="Normal"/>
    <w:next w:val="Normal"/>
    <w:qFormat/>
    <w:pPr>
      <w:keepNext w:val="true"/>
      <w:numPr>
        <w:ilvl w:val="0"/>
        <w:numId w:val="2"/>
      </w:numPr>
      <w:tabs>
        <w:tab w:val="left" w:pos="720" w:leader="none"/>
      </w:tabs>
      <w:ind w:hanging="0" w:start="0" w:end="0"/>
      <w:jc w:val="both"/>
      <w:outlineLvl w:val="1"/>
    </w:pPr>
    <w:rPr>
      <w:rFonts w:ascii="Times" w:hAnsi="Times" w:cs="Times"/>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Symbol" w:hAnsi="Symbol" w:cs="Symbol"/>
      <w:color w:val="000000"/>
    </w:rPr>
  </w:style>
  <w:style w:type="character" w:styleId="WW8Num2z2">
    <w:name w:val="WW8Num2z2"/>
    <w:qFormat/>
    <w:rPr>
      <w:rFonts w:ascii="Wingdings" w:hAnsi="Wingdings" w:cs="Wingdings"/>
    </w:rPr>
  </w:style>
  <w:style w:type="character" w:styleId="WW8Num2z4">
    <w:name w:val="WW8Num2z4"/>
    <w:qFormat/>
    <w:rPr>
      <w:rFonts w:ascii="Courier New" w:hAnsi="Courier New" w:cs="Courier New"/>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cs="Times New Roman"/>
    </w:rPr>
  </w:style>
  <w:style w:type="character" w:styleId="WW8Num5z1">
    <w:name w:val="WW8Num5z1"/>
    <w:qFormat/>
    <w:rPr/>
  </w:style>
  <w:style w:type="character" w:styleId="WW8Num5z2">
    <w:name w:val="WW8Num5z2"/>
    <w:qFormat/>
    <w:rPr>
      <w:rFonts w:ascii="Symbol" w:hAnsi="Symbol" w:cs="Symbol"/>
      <w:color w:val="000000"/>
    </w:rPr>
  </w:style>
  <w:style w:type="character" w:styleId="WW8Num6z0">
    <w:name w:val="WW8Num6z0"/>
    <w:qFormat/>
    <w:rPr>
      <w:rFonts w:ascii="Symbol" w:hAnsi="Symbol" w:cs="Symbol"/>
      <w:color w:val="000000"/>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rFonts w:ascii="Symbol" w:hAnsi="Symbol" w:cs="Symbol"/>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color w:val="000000"/>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8z4">
    <w:name w:val="WW8Num8z4"/>
    <w:qFormat/>
    <w:rPr>
      <w:rFonts w:ascii="Courier New" w:hAnsi="Courier New" w:cs="Courier New"/>
    </w:rPr>
  </w:style>
  <w:style w:type="character" w:styleId="WW8Num9z0">
    <w:name w:val="WW8Num9z0"/>
    <w:qFormat/>
    <w:rPr/>
  </w:style>
  <w:style w:type="character" w:styleId="WW8Num10z0">
    <w:name w:val="WW8Num10z0"/>
    <w:qFormat/>
    <w:rPr>
      <w:rFonts w:ascii="Symbol" w:hAnsi="Symbol" w:cs="Symbol"/>
      <w:color w:val="000000"/>
    </w:rPr>
  </w:style>
  <w:style w:type="character" w:styleId="WW8Num10z1">
    <w:name w:val="WW8Num10z1"/>
    <w:qFormat/>
    <w:rPr>
      <w:rFonts w:ascii="Symbol" w:hAnsi="Symbol" w:cs="Symbol"/>
    </w:rPr>
  </w:style>
  <w:style w:type="character" w:styleId="WW8Num10z2">
    <w:name w:val="WW8Num10z2"/>
    <w:qFormat/>
    <w:rPr>
      <w:rFonts w:ascii="Wingdings" w:hAnsi="Wingdings" w:cs="Wingdings"/>
    </w:rPr>
  </w:style>
  <w:style w:type="character" w:styleId="WW8Num10z4">
    <w:name w:val="WW8Num10z4"/>
    <w:qFormat/>
    <w:rPr>
      <w:rFonts w:ascii="Courier New" w:hAnsi="Courier New" w:cs="Courier New"/>
    </w:rPr>
  </w:style>
  <w:style w:type="character" w:styleId="WW8Num11z0">
    <w:name w:val="WW8Num11z0"/>
    <w:qFormat/>
    <w:rPr>
      <w:rFonts w:ascii="Symbol" w:hAnsi="Symbol" w:cs="Symbol"/>
      <w:color w:val="000000"/>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1z4">
    <w:name w:val="WW8Num11z4"/>
    <w:qFormat/>
    <w:rPr>
      <w:rFonts w:ascii="Courier New" w:hAnsi="Courier New" w:cs="Courier New"/>
    </w:rPr>
  </w:style>
  <w:style w:type="character" w:styleId="WW8Num12z0">
    <w:name w:val="WW8Num12z0"/>
    <w:qFormat/>
    <w:rPr/>
  </w:style>
  <w:style w:type="character" w:styleId="WW8Num13z0">
    <w:name w:val="WW8Num13z0"/>
    <w:qFormat/>
    <w:rPr>
      <w:rFonts w:ascii="Symbol" w:hAnsi="Symbol" w:cs="Symbol"/>
    </w:rPr>
  </w:style>
  <w:style w:type="character" w:styleId="WW8Num13z1">
    <w:name w:val="WW8Num13z1"/>
    <w:qFormat/>
    <w:rPr>
      <w:rFonts w:ascii="Symbol" w:hAnsi="Symbol" w:cs="Symbol"/>
      <w:color w:val="000000"/>
    </w:rPr>
  </w:style>
  <w:style w:type="character" w:styleId="WW8Num13z2">
    <w:name w:val="WW8Num13z2"/>
    <w:qFormat/>
    <w:rPr>
      <w:rFonts w:ascii="Wingdings" w:hAnsi="Wingdings" w:cs="Wingdings"/>
    </w:rPr>
  </w:style>
  <w:style w:type="character" w:styleId="WW8Num13z4">
    <w:name w:val="WW8Num13z4"/>
    <w:qFormat/>
    <w:rPr>
      <w:rFonts w:ascii="Courier New" w:hAnsi="Courier New" w:cs="Courier New"/>
    </w:rPr>
  </w:style>
  <w:style w:type="character" w:styleId="WW8Num14z0">
    <w:name w:val="WW8Num14z0"/>
    <w:qFormat/>
    <w:rPr>
      <w:rFonts w:ascii="Symbol" w:hAnsi="Symbol" w:cs="Symbol"/>
      <w:color w:val="000000"/>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color w:val="000000"/>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5z4">
    <w:name w:val="WW8Num15z4"/>
    <w:qFormat/>
    <w:rPr>
      <w:rFonts w:ascii="Courier New" w:hAnsi="Courier New" w:cs="Courier New"/>
    </w:rPr>
  </w:style>
  <w:style w:type="character" w:styleId="WW8Num16z0">
    <w:name w:val="WW8Num16z0"/>
    <w:qFormat/>
    <w:rPr>
      <w:rFonts w:ascii="Symbol" w:hAnsi="Symbol" w:cs="Symbol"/>
      <w:color w:val="000000"/>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hanging="0" w:start="360" w:end="0"/>
    </w:pPr>
    <w:rPr/>
  </w:style>
  <w:style w:type="paragraph" w:styleId="FootnoteText">
    <w:name w:val="footnote text"/>
    <w:basedOn w:val="Normal"/>
    <w:pPr/>
    <w:rPr>
      <w:sz w:val="20"/>
      <w:szCs w:val="20"/>
    </w:rPr>
  </w:style>
  <w:style w:type="paragraph" w:styleId="BodyTextIndent2">
    <w:name w:val="Body Text Indent 2"/>
    <w:basedOn w:val="Normal"/>
    <w:qFormat/>
    <w:pPr>
      <w:ind w:firstLine="720" w:start="0" w:end="0"/>
      <w:jc w:val="both"/>
    </w:pPr>
    <w:rPr>
      <w:rFonts w:ascii="Times" w:hAnsi="Times" w:cs="Time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2001-01-29T21:21:00Z</dcterms:created>
  <dc:creator>mmcvick</dc:creator>
  <dc:description/>
  <dc:language>en-CA</dc:language>
  <cp:lastModifiedBy>mmcvick</cp:lastModifiedBy>
  <cp:lastPrinted>2000-09-08T10:15:00Z</cp:lastPrinted>
  <dcterms:modified xsi:type="dcterms:W3CDTF">2001-01-29T22:03:00Z</dcterms:modified>
  <cp:revision>5</cp:revision>
  <dc:subject/>
  <dc:title>Testimony of Steven J</dc:title>
</cp:coreProperties>
</file>