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O:\LEGAL\SPANUS\GUARANTY\SITA.DOC</w:t>
      </w:r>
    </w:p>
    <w:p>
      <w:pPr>
        <w:pStyle w:val="Normal"/>
        <w:bidi w:val="0"/>
        <w:jc w:val="start"/>
        <w:rPr/>
      </w:pPr>
      <w:r>
        <w:rPr/>
        <w:t>and revised document: O:\LEGAL\SPANUS\GUARANTY\SITA2.DOC</w:t>
      </w:r>
    </w:p>
    <w:p>
      <w:pPr>
        <w:pStyle w:val="Normal"/>
        <w:bidi w:val="0"/>
        <w:jc w:val="start"/>
        <w:rPr/>
      </w:pPr>
      <w:r>
        <w:rPr/>
      </w:r>
    </w:p>
    <w:p>
      <w:pPr>
        <w:pStyle w:val="Normal"/>
        <w:bidi w:val="0"/>
        <w:jc w:val="start"/>
        <w:rPr/>
      </w:pPr>
      <w:r>
        <w:rPr/>
        <w:t>CompareRite found        2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ind w:end="180"/>
        <w:jc w:val="center"/>
        <w:rPr>
          <w:rFonts w:ascii="Times New Roman" w:hAnsi="Times New Roman"/>
          <w:b/>
          <w:sz w:val="22"/>
        </w:rPr>
      </w:pPr>
      <w:r>
        <w:rPr>
          <w:rFonts w:ascii="Times New Roman" w:hAnsi="Times New Roman"/>
          <w:b/>
          <w:sz w:val="22"/>
          <w:u w:val="single"/>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2000,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BodyTextIndent"/>
        <w:bidi w:val="0"/>
        <w:rPr>
          <w:rFonts w:ascii="Times New Roman" w:hAnsi="Times New Roman"/>
        </w:rPr>
      </w:pPr>
      <w:r>
        <w:rPr>
          <w:rFonts w:ascii="Times New Roman" w:hAnsi="Times New Roman"/>
        </w:rPr>
        <w:t xml:space="preserve">WHEREAS, SITA, a company organized under the laws of France (“Counterparty”), and ENRON CAPTIAL &amp; TRADE RESOURCES INTERNATIONAL CORP.(“Enron”),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xml:space="preserve">.    Subject to the provisions hereof, </w:t>
      </w:r>
      <w:r>
        <w:rPr>
          <w:rFonts w:ascii="Times New Roman" w:hAnsi="Times New Roman"/>
          <w:b/>
          <w:sz w:val="22"/>
        </w:rPr>
        <w:t>[this Guaranty is a continuing Guaranty and]</w:t>
      </w:r>
      <w:r>
        <w:rPr>
          <w:rFonts w:ascii="Times New Roman" w:hAnsi="Times New Roman"/>
          <w:sz w:val="22"/>
        </w:rPr>
        <w:t xml:space="preserve"> the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tabs>
          <w:tab w:val="clear" w:pos="720"/>
          <w:tab w:val="left" w:pos="1095" w:leader="none"/>
        </w:tabs>
        <w:bidi w:val="0"/>
        <w:spacing w:lineRule="exact" w:line="240" w:before="240" w:after="0"/>
        <w:ind w:hanging="375" w:start="1095"/>
        <w:rPr>
          <w:rFonts w:ascii="Times New Roman" w:hAnsi="Times New Roman"/>
        </w:rPr>
      </w:pPr>
      <w:r>
        <w:rPr>
          <w:rFonts w:ascii="Times New Roman" w:hAnsi="Times New Roman"/>
        </w:rPr>
        <w:t>(b)</w:t>
        <w:tab/>
        <w:t>The aggregate amount covered by this Guaranty shall not exceed U.S. $15,000,000.</w:t>
      </w:r>
    </w:p>
    <w:p>
      <w:pPr>
        <w:pStyle w:val="BodyTextIndent3"/>
        <w:tabs>
          <w:tab w:val="clear" w:pos="720"/>
          <w:tab w:val="left" w:pos="1095" w:leader="none"/>
        </w:tabs>
        <w:bidi w:val="0"/>
        <w:spacing w:lineRule="exact" w:line="240" w:before="240" w:after="0"/>
        <w:ind w:hanging="375" w:start="1095"/>
        <w:rPr>
          <w:rFonts w:ascii="Times New Roman" w:hAnsi="Times New Roman"/>
        </w:rPr>
      </w:pPr>
      <w:r>
        <w:rPr>
          <w:rFonts w:ascii="Times New Roman" w:hAnsi="Times New Roman"/>
        </w:rPr>
        <w:t>(c)</w:t>
        <w:tab/>
        <w:t>The Guarantor’s obligations under this Guaranty shall not be affected by:</w:t>
      </w:r>
    </w:p>
    <w:p>
      <w:pPr>
        <w:pStyle w:val="BodyTextIndent3"/>
        <w:tabs>
          <w:tab w:val="clear" w:pos="720"/>
          <w:tab w:val="left" w:pos="2160" w:leader="none"/>
        </w:tabs>
        <w:bidi w:val="0"/>
        <w:spacing w:lineRule="exact" w:line="240" w:before="240" w:after="0"/>
        <w:ind w:hanging="720" w:start="2160"/>
        <w:rPr>
          <w:rFonts w:ascii="Times New Roman" w:hAnsi="Times New Roman"/>
        </w:rPr>
      </w:pPr>
      <w:r>
        <w:rPr>
          <w:rFonts w:ascii="Times New Roman" w:hAnsi="Times New Roman"/>
        </w:rPr>
        <w:t>(i)</w:t>
        <w:tab/>
        <w:t>any of the obligations and liabilities owed by Enron to the Counterparty now or in the future becoming illegal, invalid, unenforceable or ineffective; and</w:t>
      </w:r>
    </w:p>
    <w:p>
      <w:pPr>
        <w:pStyle w:val="BodyTextIndent3"/>
        <w:tabs>
          <w:tab w:val="clear" w:pos="720"/>
          <w:tab w:val="left" w:pos="2160" w:leader="none"/>
        </w:tabs>
        <w:bidi w:val="0"/>
        <w:spacing w:lineRule="exact" w:line="240" w:before="240" w:after="0"/>
        <w:ind w:hanging="720" w:start="2160"/>
        <w:rPr>
          <w:rFonts w:ascii="Times New Roman" w:hAnsi="Times New Roman"/>
        </w:rPr>
      </w:pPr>
      <w:r>
        <w:rPr>
          <w:rFonts w:ascii="Times New Roman" w:hAnsi="Times New Roman"/>
        </w:rPr>
        <w:t>(ii)</w:t>
        <w:tab/>
        <w:t>any other act or event which but for this clause c(i), might operate to discharge the Guarantor’s obligations under this Guaranty.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legally binding and enforceable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w:t>
      </w:r>
      <w:r>
        <w:rPr>
          <w:rFonts w:ascii="Times New Roman" w:hAnsi="Times New Roman"/>
          <w:strike/>
          <w:sz w:val="22"/>
        </w:rPr>
        <w:t>{five (5)}</w:t>
      </w:r>
      <w:r>
        <w:rPr>
          <w:rFonts w:ascii="Times New Roman" w:hAnsi="Times New Roman"/>
          <w:sz w:val="22"/>
        </w:rPr>
        <w:t xml:space="preserve"> </w:t>
      </w:r>
      <w:r>
        <w:rPr>
          <w:rFonts w:ascii="Times New Roman" w:hAnsi="Times New Roman"/>
          <w:b/>
          <w:sz w:val="22"/>
        </w:rPr>
        <w:t>[ten (10)]</w:t>
      </w:r>
      <w:r>
        <w:rPr>
          <w:rFonts w:ascii="Times New Roman" w:hAnsi="Times New Roman"/>
          <w:sz w:val="22"/>
        </w:rPr>
        <w:t xml:space="preserve">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color w:val="000000"/>
                <w:sz w:val="22"/>
              </w:rPr>
              <w:t>To Counterparty:</w:t>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SITA</w:t>
            </w:r>
          </w:p>
        </w:tc>
        <w:tc>
          <w:tcPr>
            <w:tcW w:w="1530" w:type="dxa"/>
            <w:tcBorders/>
          </w:tcPr>
          <w:p>
            <w:pPr>
              <w:pStyle w:val="Normal"/>
              <w:keepNext w:val="true"/>
              <w:tabs>
                <w:tab w:val="clear" w:pos="720"/>
              </w:tabs>
              <w:bidi w:val="0"/>
              <w:spacing w:lineRule="atLeast" w:line="240"/>
              <w:jc w:val="start"/>
              <w:rPr/>
            </w:pPr>
            <w:r>
              <w:rPr>
                <w:rFonts w:ascii="Times New Roman" w:hAnsi="Times New Roman"/>
                <w:color w:val="000000"/>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132 rue des Trois Fontanot</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rFonts w:ascii="Times New Roman" w:hAnsi="Times New Roman"/>
                <w:color w:val="000000"/>
                <w:sz w:val="22"/>
              </w:rPr>
            </w:pPr>
            <w:r>
              <w:rPr>
                <w:rFonts w:ascii="Times New Roman" w:hAnsi="Times New Roman"/>
                <w:color w:val="000000"/>
                <w:sz w:val="22"/>
              </w:rPr>
              <w:t>92758 Nanterre</w:t>
            </w:r>
          </w:p>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Cedex France</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rFonts w:ascii="Times New Roman" w:hAnsi="Times New Roman"/>
                <w:color w:val="000000"/>
                <w:sz w:val="22"/>
                <w:u w:val="single"/>
              </w:rPr>
            </w:pPr>
            <w:r>
              <w:rPr>
                <w:rFonts w:ascii="Times New Roman" w:hAnsi="Times New Roman"/>
                <w:color w:val="000000"/>
                <w:sz w:val="22"/>
              </w:rPr>
              <w:t>Attn.:    Philippe Dessain</w:t>
            </w:r>
          </w:p>
          <w:p>
            <w:pPr>
              <w:pStyle w:val="Normal"/>
              <w:keepNext w:val="true"/>
              <w:tabs>
                <w:tab w:val="clear" w:pos="720"/>
                <w:tab w:val="left" w:pos="3132" w:leader="none"/>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Fax No.:    33 1 42 91 68 81</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PROCESS AGENT</w:t>
      </w:r>
      <w:r>
        <w:rPr>
          <w:rFonts w:ascii="Times New Roman" w:hAnsi="Times New Roman"/>
          <w:sz w:val="22"/>
        </w:rPr>
        <w:t>.    For the purpose of this Guaranty, the Guarantor appoints as its Process Agent, Enron Europe Finance &amp; Trading    Limited, Enron House, 40 Grosvenor Place, London SW1X 7EN.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9. 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laws of England, and Guarantor and Counterparty agree to submit to the exclusive jurisdiction of the High Court of Justice, England, in respect of any matter arising under this Guaranty and waive any claim that any proceedings brought in such courts in respect of any matter arising under this Guaranty have been brought in an inconvenient forum. 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2000, but it is effective as of the date first above written.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rPr>
      </w:pPr>
      <w:r>
        <w:rPr>
          <w:rFonts w:ascii="Times New Roman" w:hAnsi="Times New Roman"/>
          <w:sz w:val="22"/>
        </w:rPr>
        <w:t xml:space="preserve">Title:    </w:t>
      </w:r>
      <w:r>
        <w:rPr>
          <w:rFonts w:ascii="Times New Roman" w:hAnsi="Times New Roman"/>
          <w:sz w:val="22"/>
          <w:u w:val="single"/>
        </w:rPr>
        <w:tab/>
        <w:tab/>
        <w:tab/>
        <w:tab/>
        <w:tab/>
        <w:tab/>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[1:9 1:9] Changed</w:t>
        <w:tab/>
        <w:t>"hereof, the" to "hereof, this    ...    Guaranty and the"</w:t>
      </w:r>
    </w:p>
    <w:p>
      <w:pPr>
        <w:pStyle w:val="Normal"/>
        <w:bidi w:val="0"/>
        <w:spacing w:lineRule="atLeast" w:line="240"/>
        <w:jc w:val="start"/>
        <w:rPr>
          <w:rFonts w:ascii="Times New Roman" w:hAnsi="Times New Roman"/>
        </w:rPr>
      </w:pPr>
      <w:r>
        <w:rPr>
          <w:rFonts w:ascii="Times New Roman" w:hAnsi="Times New Roman"/>
        </w:rPr>
        <w:t>[1:25 1:25] Changed</w:t>
        <w:tab/>
        <w:t>"five (5) " to "ten (10) "</w:t>
      </w:r>
    </w:p>
    <w:p>
      <w:pPr>
        <w:pStyle w:val="Normal"/>
        <w:bidi w:val="0"/>
        <w:spacing w:lineRule="atLeast" w:line="240"/>
        <w:jc w:val="start"/>
        <w:rPr>
          <w:rFonts w:ascii="Times New Roman" w:hAnsi="Times New Roman"/>
        </w:rPr>
      </w:pPr>
      <w:r>
        <w:rPr>
          <w:rFonts w:ascii="Times New Roman" w:hAnsi="Times New Roman"/>
        </w:rPr>
      </w:r>
    </w:p>
    <w:sectPr>
      <w:type w:val="nextPage"/>
      <w:pgSz w:w="12240" w:h="15840"/>
      <w:pgMar w:left="1080" w:right="1080" w:gutter="0" w:header="0" w:top="1440" w:footer="0" w:bottom="144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BodyTextIndent">
    <w:name w:val="Body Text Indent"/>
    <w:basedOn w:val="BodyText"/>
    <w:pPr>
      <w:ind w:hanging="0" w:start="108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1405</Words>
  <CharactersWithSpaces>8013</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2000-11-14T09:34:00Z</dcterms:created>
  <dc:creator>spanus</dc:creator>
  <dc:description/>
  <dc:language>en-CA</dc:language>
  <cp:lastModifiedBy/>
  <dcterms:modified xsi:type="dcterms:W3CDTF">2000-11-14T09:34:00Z</dcterms:modified>
  <cp:revision>2</cp:revision>
  <dc:subject/>
  <dc:title>EXHIBIT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spanus</vt:lpwstr>
  </property>
</Properties>
</file>