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18" w:type="dxa"/>
        <w:jc w:val="start"/>
        <w:tblInd w:w="0" w:type="dxa"/>
        <w:tblLayout w:type="fixed"/>
        <w:tblCellMar>
          <w:top w:w="0" w:type="dxa"/>
          <w:start w:w="108" w:type="dxa"/>
          <w:bottom w:w="0" w:type="dxa"/>
          <w:end w:w="108" w:type="dxa"/>
        </w:tblCellMar>
      </w:tblPr>
      <w:tblGrid>
        <w:gridCol w:w="2628"/>
        <w:gridCol w:w="1800"/>
        <w:gridCol w:w="1800"/>
        <w:gridCol w:w="1710"/>
        <w:gridCol w:w="198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4"/>
              </w:rPr>
            </w:pPr>
            <w:r>
              <w:rPr>
                <w:rFonts w:cs="Arial" w:ascii="Arial" w:hAnsi="Arial"/>
                <w:b/>
                <w:sz w:val="24"/>
              </w:rPr>
              <w:t>State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Total Trading Budget</w:t>
            </w:r>
          </w:p>
          <w:p>
            <w:pPr>
              <w:pStyle w:val="Normal"/>
              <w:jc w:val="center"/>
              <w:rPr>
                <w:b/>
                <w:sz w:val="24"/>
              </w:rPr>
            </w:pPr>
            <w:r>
              <w:rPr>
                <w:b/>
                <w:sz w:val="24"/>
              </w:rPr>
              <w:t>(Tons)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EGU Budget</w:t>
            </w:r>
          </w:p>
          <w:p>
            <w:pPr>
              <w:pStyle w:val="Normal"/>
              <w:jc w:val="center"/>
              <w:rPr>
                <w:b/>
                <w:sz w:val="24"/>
              </w:rPr>
            </w:pPr>
            <w:r>
              <w:rPr>
                <w:b/>
                <w:sz w:val="24"/>
              </w:rPr>
              <w:t>(Tons)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Compliance Supplement Pool</w:t>
            </w:r>
          </w:p>
          <w:p>
            <w:pPr>
              <w:pStyle w:val="Normal"/>
              <w:jc w:val="center"/>
              <w:rPr>
                <w:b/>
                <w:sz w:val="24"/>
              </w:rPr>
            </w:pPr>
            <w:r>
              <w:rPr>
                <w:b/>
                <w:sz w:val="24"/>
              </w:rPr>
              <w:t>(Tons)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color w:val="000000"/>
                <w:sz w:val="24"/>
              </w:rPr>
              <w:t>2007 State-specific Growth Factor*</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Alabama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25,497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23,168</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8,962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Connecticut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4,477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4,253</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473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Delaware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5,227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DC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207</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Georgia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29,416</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10,728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Illinois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35,583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30,701</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17,688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1.08</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Indiana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50,503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43,654</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19,915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Kentucky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36,503</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13,520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Maryland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15,466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14,740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3,840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Massachusetts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12,861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11,575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473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Michigan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30,243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28,963</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19,915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Missouri</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29,506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5,630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New Jersey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8,200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6,970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1,550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New York</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41,350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30,405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2,370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North Carolina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34,504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31,212</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10,737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Ohio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47,058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43,160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22,301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Pennsylvania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50,843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47,224</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15,763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Rhode Island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936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625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0.47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South Carolina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19,678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16,199</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5,344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1.43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Tennessee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31,333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25,814</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10,565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Virginia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24,298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21,614</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6,990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West Virginia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39,309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37,125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16,709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1.03</w:t>
            </w:r>
          </w:p>
        </w:tc>
      </w:tr>
    </w:tbl>
    <w:p>
      <w:pPr>
        <w:pStyle w:val="Normal"/>
        <w:rPr>
          <w:b/>
          <w:sz w:val="22"/>
        </w:rPr>
      </w:pPr>
      <w:r>
        <w:rPr>
          <w:b/>
          <w:sz w:val="22"/>
        </w:rPr>
        <w:t>*Based on information provided by the EPA for the final SIP call budgets (derived from the EPA's Integrated Planning Model from 1998).  All other information comes from individual state SIPs.  In the cases of DC, RI and NC some information was unavailable in the SIPs and is derived from EPA's suggested budgets.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2001-07-25T17:35:00Z</dcterms:created>
  <dc:creator>Sara Hayes</dc:creator>
  <dc:description/>
  <dc:language>en-CA</dc:language>
  <cp:lastModifiedBy>Mary Schoen</cp:lastModifiedBy>
  <cp:lastPrinted>2001-07-24T11:22:00Z</cp:lastPrinted>
  <dcterms:modified xsi:type="dcterms:W3CDTF">2001-07-25T17:35:00Z</dcterms:modified>
  <cp:revision>2</cp:revision>
  <dc:subject/>
  <dc:title>State</dc:title>
</cp:coreProperties>
</file>