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1 - 1 April 2000</w:t>
      </w:r>
    </w:p>
    <w:p>
      <w:pPr>
        <w:pStyle w:val="Normal"/>
        <w:numPr>
          <w:ilvl w:val="0"/>
          <w:numId w:val="0"/>
        </w:numPr>
        <w:jc w:val="center"/>
        <w:outlineLvl w:val="0"/>
        <w:rPr>
          <w:rFonts w:ascii="Arial" w:hAnsi="Arial" w:cs="Arial"/>
          <w:b/>
          <w:sz w:val="20"/>
        </w:rPr>
      </w:pPr>
      <w:r>
        <w:rPr>
          <w:rFonts w:cs="Arial" w:ascii="Arial" w:hAnsi="Arial"/>
          <w:b/>
          <w:sz w:val="20"/>
        </w:rPr>
        <w:t xml:space="preserve">ENRON CAPITAL &amp; TRADE RESOURCES INTERNATIONAL CORP. ("Enron") </w:t>
      </w:r>
    </w:p>
    <w:p>
      <w:pPr>
        <w:pStyle w:val="Normal"/>
        <w:numPr>
          <w:ilvl w:val="0"/>
          <w:numId w:val="0"/>
        </w:numPr>
        <w:jc w:val="center"/>
        <w:outlineLvl w:val="0"/>
        <w:rPr>
          <w:rFonts w:ascii="Arial" w:hAnsi="Arial" w:cs="Arial"/>
          <w:b/>
          <w:sz w:val="20"/>
        </w:rPr>
      </w:pPr>
      <w:r>
        <w:rPr>
          <w:rFonts w:cs="Arial" w:ascii="Arial" w:hAnsi="Arial"/>
          <w:b/>
          <w:sz w:val="20"/>
        </w:rPr>
        <w:t>SINGAPORE BRANCH</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jc w:val="both"/>
        <w:rPr/>
      </w:pPr>
      <w:r>
        <w:rPr>
          <w:rFonts w:cs="Arial" w:ascii="Arial" w:hAnsi="Arial"/>
          <w:sz w:val="20"/>
        </w:rPr>
        <w:t>1.</w:t>
        <w:tab/>
      </w:r>
      <w:r>
        <w:rPr>
          <w:rFonts w:cs="Arial" w:ascii="Arial" w:hAnsi="Arial"/>
          <w:b/>
          <w:sz w:val="20"/>
          <w:u w:val="single"/>
        </w:rPr>
        <w:t>Transactions</w:t>
      </w:r>
      <w:r>
        <w:rPr>
          <w:rFonts w:cs="Arial" w:ascii="Arial" w:hAnsi="Arial"/>
          <w:sz w:val="20"/>
        </w:rPr>
        <w:t xml:space="preserve">. 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jc w:val="both"/>
        <w:rPr/>
      </w:pPr>
      <w:r>
        <w:rPr>
          <w:rFonts w:cs="Arial" w:ascii="Arial" w:hAnsi="Arial"/>
          <w:sz w:val="20"/>
        </w:rPr>
        <w:t>2.</w:t>
        <w:tab/>
      </w:r>
      <w:r>
        <w:rPr>
          <w:rFonts w:cs="Arial" w:ascii="Arial" w:hAnsi="Arial"/>
          <w:b/>
          <w:sz w:val="20"/>
          <w:u w:val="single"/>
        </w:rPr>
        <w:t>Representations</w:t>
      </w:r>
      <w:r>
        <w:rPr>
          <w:rFonts w:cs="Arial" w:ascii="Arial" w:hAnsi="Arial"/>
          <w:sz w:val="20"/>
        </w:rPr>
        <w:t>. Each of Enron and Counterparty represents and warrants to the other that (a) Authority/Taxation (i) the execution, delivery and performance of each Transaction have been duly authorised by all necessary corporate or other organisation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jc w:val="both"/>
        <w:rPr/>
      </w:pPr>
      <w:r>
        <w:rPr>
          <w:rFonts w:cs="Arial" w:ascii="Arial" w:hAnsi="Arial"/>
          <w:sz w:val="20"/>
        </w:rPr>
        <w:t>3.</w:t>
        <w:tab/>
      </w:r>
      <w:r>
        <w:rPr>
          <w:rFonts w:cs="Arial" w:ascii="Arial" w:hAnsi="Arial"/>
          <w:b/>
          <w:sz w:val="20"/>
          <w:u w:val="single"/>
        </w:rPr>
        <w:t>Payments</w:t>
      </w:r>
      <w:r>
        <w:rPr>
          <w:rFonts w:cs="Arial" w:ascii="Arial" w:hAnsi="Arial"/>
          <w:sz w:val="20"/>
        </w:rPr>
        <w:t>.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jc w:val="both"/>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Fonts w:cs="Arial" w:ascii="Arial" w:hAnsi="Arial"/>
          <w:sz w:val="20"/>
        </w:rPr>
        <w:t>4.</w:t>
        <w:tab/>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jc w:val="both"/>
        <w:rPr/>
      </w:pPr>
      <w:r>
        <w:rPr>
          <w:rFonts w:cs="Arial" w:ascii="Arial" w:hAnsi="Arial"/>
          <w:sz w:val="20"/>
        </w:rPr>
        <w:t>5.</w:t>
        <w:tab/>
      </w:r>
      <w:r>
        <w:rPr>
          <w:rFonts w:cs="Arial" w:ascii="Arial" w:hAnsi="Arial"/>
          <w:b/>
          <w:sz w:val="20"/>
          <w:u w:val="single"/>
        </w:rPr>
        <w:t>Remedies</w:t>
      </w:r>
      <w:r>
        <w:rPr>
          <w:rFonts w:cs="Arial" w:ascii="Arial" w:hAnsi="Arial"/>
          <w:sz w:val="20"/>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jc w:val="both"/>
        <w:rPr/>
      </w:pPr>
      <w:r>
        <w:rPr>
          <w:rFonts w:cs="Arial" w:ascii="Arial" w:hAnsi="Arial"/>
          <w:sz w:val="20"/>
        </w:rPr>
        <w:t>6.</w:t>
        <w:tab/>
      </w:r>
      <w:r>
        <w:rPr>
          <w:rFonts w:cs="Arial" w:ascii="Arial" w:hAnsi="Arial"/>
          <w:b/>
          <w:sz w:val="20"/>
          <w:u w:val="single"/>
        </w:rPr>
        <w:t>Setoff</w:t>
      </w:r>
      <w:r>
        <w:rPr>
          <w:rFonts w:cs="Arial" w:ascii="Arial" w:hAnsi="Arial"/>
          <w:sz w:val="20"/>
        </w:rPr>
        <w:t>.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jc w:val="both"/>
        <w:rPr/>
      </w:pPr>
      <w:r>
        <w:rPr>
          <w:rFonts w:cs="Arial" w:ascii="Arial" w:hAnsi="Arial"/>
          <w:sz w:val="20"/>
        </w:rPr>
        <w:t>7.</w:t>
        <w:tab/>
      </w:r>
      <w:r>
        <w:rPr>
          <w:rFonts w:cs="Arial" w:ascii="Arial" w:hAnsi="Arial"/>
          <w:b/>
          <w:sz w:val="20"/>
          <w:u w:val="single"/>
        </w:rPr>
        <w:t>Miscellaneous</w:t>
      </w:r>
      <w:r>
        <w:rPr>
          <w:rFonts w:cs="Arial" w:ascii="Arial" w:hAnsi="Arial"/>
          <w:sz w:val="20"/>
        </w:rPr>
        <w:t>. 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 The parties to each Transaction do not intend that any term of such Transaction should be enforceable, by virtue of the Contracts (Rights of Third Parties) Act 1999, by any person who is not a party to such Transaction.</w:t>
      </w:r>
    </w:p>
    <w:p>
      <w:pPr>
        <w:pStyle w:val="Normal"/>
        <w:jc w:val="both"/>
        <w:rPr/>
      </w:pPr>
      <w:r>
        <w:rPr>
          <w:rFonts w:cs="Arial" w:ascii="Arial" w:hAnsi="Arial"/>
          <w:sz w:val="20"/>
        </w:rPr>
        <w:t>8.</w:t>
        <w:tab/>
      </w:r>
      <w:r>
        <w:rPr>
          <w:rFonts w:cs="Arial" w:ascii="Arial" w:hAnsi="Arial"/>
          <w:b/>
          <w:sz w:val="20"/>
          <w:u w:val="single"/>
        </w:rPr>
        <w:t>Market Disruption</w:t>
      </w:r>
      <w:r>
        <w:rPr>
          <w:rFonts w:cs="Arial" w:ascii="Arial" w:hAnsi="Arial"/>
          <w:sz w:val="20"/>
        </w:rPr>
        <w:t>. 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jc w:val="both"/>
        <w:rPr/>
      </w:pPr>
      <w:r>
        <w:rPr>
          <w:rFonts w:cs="Arial" w:ascii="Arial" w:hAnsi="Arial"/>
          <w:sz w:val="20"/>
        </w:rPr>
        <w:t>9.</w:t>
        <w:tab/>
      </w:r>
      <w:r>
        <w:rPr>
          <w:rFonts w:cs="Arial" w:ascii="Arial" w:hAnsi="Arial"/>
          <w:b/>
          <w:sz w:val="20"/>
          <w:u w:val="single"/>
        </w:rPr>
        <w:t>Taxes</w:t>
      </w:r>
      <w:r>
        <w:rPr>
          <w:rFonts w:cs="Arial" w:ascii="Arial" w:hAnsi="Arial"/>
          <w:sz w:val="20"/>
        </w:rPr>
        <w:t>.</w:t>
      </w:r>
    </w:p>
    <w:p>
      <w:pPr>
        <w:pStyle w:val="Normal"/>
        <w:numPr>
          <w:ilvl w:val="0"/>
          <w:numId w:val="0"/>
        </w:numPr>
        <w:outlineLvl w:val="0"/>
        <w:rPr>
          <w:rFonts w:ascii="Arial" w:hAnsi="Arial" w:cs="Arial"/>
          <w:sz w:val="20"/>
        </w:rPr>
      </w:pPr>
      <w:r>
        <w:rPr>
          <w:rFonts w:cs="Arial" w:ascii="Arial" w:hAnsi="Arial"/>
          <w:sz w:val="20"/>
        </w:rPr>
        <w:t>(a)</w:t>
        <w:tab/>
        <w:t>Payor Representations</w:t>
      </w:r>
    </w:p>
    <w:p>
      <w:pPr>
        <w:pStyle w:val="Normal"/>
        <w:jc w:val="both"/>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jc w:val="both"/>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jc w:val="both"/>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0"/>
          <w:numId w:val="0"/>
        </w:numPr>
        <w:jc w:val="both"/>
        <w:outlineLvl w:val="0"/>
        <w:rPr>
          <w:rFonts w:ascii="Arial" w:hAnsi="Arial" w:cs="Arial"/>
          <w:sz w:val="20"/>
        </w:rPr>
      </w:pPr>
      <w:r>
        <w:rPr>
          <w:rFonts w:cs="Arial" w:ascii="Arial" w:hAnsi="Arial"/>
          <w:sz w:val="20"/>
        </w:rPr>
        <w:t>(b)</w:t>
        <w:tab/>
        <w:t>Payee Representations</w:t>
      </w:r>
    </w:p>
    <w:p>
      <w:pPr>
        <w:pStyle w:val="Normal"/>
        <w:jc w:val="both"/>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jc w:val="both"/>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jc w:val="both"/>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jc w:val="both"/>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jc w:val="both"/>
        <w:rPr>
          <w:rFonts w:ascii="Arial" w:hAnsi="Arial" w:cs="Arial"/>
          <w:sz w:val="20"/>
        </w:rPr>
      </w:pPr>
      <w:r>
        <w:rPr>
          <w:rFonts w:cs="Arial" w:ascii="Arial" w:hAnsi="Arial"/>
          <w:sz w:val="20"/>
        </w:rPr>
        <w:t>"Branch Jurisdiction" means the jurisdiction (if any) specified as such in the Confirmation.</w:t>
      </w:r>
    </w:p>
    <w:p>
      <w:pPr>
        <w:pStyle w:val="Normal"/>
        <w:jc w:val="both"/>
        <w:rPr>
          <w:rFonts w:ascii="Arial" w:hAnsi="Arial" w:cs="Arial"/>
          <w:sz w:val="20"/>
        </w:rPr>
      </w:pPr>
      <w:r>
        <w:rPr>
          <w:rFonts w:cs="Arial" w:ascii="Arial" w:hAnsi="Arial"/>
          <w:sz w:val="20"/>
        </w:rPr>
        <w:t>"Confirmation" means the written confirmation of the relevant Transaction issued by Enron.</w:t>
      </w:r>
    </w:p>
    <w:p>
      <w:pPr>
        <w:pStyle w:val="Normal"/>
        <w:jc w:val="both"/>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jc w:val="both"/>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jc w:val="both"/>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jc w:val="both"/>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jc w:val="both"/>
        <w:rPr>
          <w:rFonts w:ascii="Arial" w:hAnsi="Arial" w:cs="Arial"/>
          <w:sz w:val="20"/>
        </w:rPr>
      </w:pPr>
      <w:r>
        <w:rPr>
          <w:rFonts w:cs="Arial" w:ascii="Arial" w:hAnsi="Arial"/>
          <w:sz w:val="20"/>
        </w:rPr>
        <w:t>"Residence Jurisdiction" means the jurisdiction specified as such in the Confirmation.</w:t>
      </w:r>
    </w:p>
    <w:p>
      <w:pPr>
        <w:pStyle w:val="Normal"/>
        <w:jc w:val="both"/>
        <w:rPr>
          <w:rFonts w:ascii="Arial" w:hAnsi="Arial" w:cs="Arial"/>
          <w:sz w:val="20"/>
        </w:rPr>
      </w:pPr>
      <w:r>
        <w:rPr>
          <w:rFonts w:cs="Arial" w:ascii="Arial" w:hAnsi="Arial"/>
          <w:sz w:val="20"/>
        </w:rPr>
        <w:t>"Specified Jurisdiction" means:</w:t>
      </w:r>
    </w:p>
    <w:p>
      <w:pPr>
        <w:pStyle w:val="Normal"/>
        <w:jc w:val="both"/>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jc w:val="both"/>
        <w:rPr>
          <w:rFonts w:ascii="Arial" w:hAnsi="Arial" w:cs="Arial"/>
          <w:sz w:val="20"/>
        </w:rPr>
      </w:pPr>
      <w:r>
        <w:rPr>
          <w:rFonts w:cs="Arial" w:ascii="Arial" w:hAnsi="Arial"/>
          <w:sz w:val="20"/>
        </w:rPr>
        <w:t>with respect to any Transaction where Enron transacts through its Singapore branch, Singapore; and</w:t>
      </w:r>
    </w:p>
    <w:p>
      <w:pPr>
        <w:pStyle w:val="Normal"/>
        <w:jc w:val="both"/>
        <w:rPr>
          <w:rFonts w:ascii="Arial" w:hAnsi="Arial" w:cs="Arial"/>
          <w:sz w:val="20"/>
        </w:rPr>
      </w:pPr>
      <w:r>
        <w:rPr>
          <w:rFonts w:cs="Arial" w:ascii="Arial" w:hAnsi="Arial"/>
          <w:sz w:val="20"/>
        </w:rPr>
        <w:t>with respect to any Transaction where Enron transacts through its Norwegian branch, Norway.</w:t>
      </w:r>
    </w:p>
    <w:p>
      <w:pPr>
        <w:pStyle w:val="Normal"/>
        <w:numPr>
          <w:ilvl w:val="0"/>
          <w:numId w:val="0"/>
        </w:numPr>
        <w:jc w:val="both"/>
        <w:outlineLvl w:val="0"/>
        <w:rPr>
          <w:rFonts w:ascii="Arial" w:hAnsi="Arial" w:cs="Arial"/>
          <w:sz w:val="20"/>
        </w:rPr>
      </w:pPr>
      <w:r>
        <w:rPr>
          <w:rFonts w:cs="Arial" w:ascii="Arial" w:hAnsi="Arial"/>
          <w:sz w:val="20"/>
        </w:rPr>
        <w:t>(c)</w:t>
        <w:tab/>
        <w:t>Changes in Representation</w:t>
      </w:r>
    </w:p>
    <w:p>
      <w:pPr>
        <w:pStyle w:val="Normal"/>
        <w:jc w:val="both"/>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0"/>
          <w:numId w:val="0"/>
        </w:numPr>
        <w:jc w:val="both"/>
        <w:outlineLvl w:val="0"/>
        <w:rPr>
          <w:rFonts w:ascii="Arial" w:hAnsi="Arial" w:cs="Arial"/>
          <w:sz w:val="20"/>
        </w:rPr>
      </w:pPr>
      <w:r>
        <w:rPr>
          <w:rFonts w:cs="Arial" w:ascii="Arial" w:hAnsi="Arial"/>
          <w:sz w:val="20"/>
        </w:rPr>
        <w:t>(d)</w:t>
        <w:tab/>
        <w:t>Withholding Tax Exemption Form</w:t>
      </w:r>
    </w:p>
    <w:p>
      <w:pPr>
        <w:pStyle w:val="Normal"/>
        <w:jc w:val="both"/>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 and successor forms thereto.</w:t>
      </w:r>
    </w:p>
    <w:p>
      <w:pPr>
        <w:pStyle w:val="Normal"/>
        <w:numPr>
          <w:ilvl w:val="0"/>
          <w:numId w:val="0"/>
        </w:numPr>
        <w:jc w:val="both"/>
        <w:outlineLvl w:val="0"/>
        <w:rPr>
          <w:rFonts w:ascii="Arial" w:hAnsi="Arial" w:cs="Arial"/>
          <w:sz w:val="20"/>
        </w:rPr>
      </w:pPr>
      <w:r>
        <w:rPr>
          <w:rFonts w:cs="Arial" w:ascii="Arial" w:hAnsi="Arial"/>
          <w:sz w:val="20"/>
        </w:rPr>
        <w:t>(e)</w:t>
        <w:tab/>
        <w:t>Gross Up</w:t>
      </w:r>
    </w:p>
    <w:p>
      <w:pPr>
        <w:pStyle w:val="Normal"/>
        <w:jc w:val="both"/>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jc w:val="both"/>
        <w:rPr>
          <w:rFonts w:ascii="Arial" w:hAnsi="Arial" w:cs="Arial"/>
          <w:sz w:val="20"/>
        </w:rPr>
      </w:pPr>
      <w:r>
        <w:rPr>
          <w:rFonts w:cs="Arial" w:ascii="Arial" w:hAnsi="Arial"/>
          <w:sz w:val="20"/>
        </w:rPr>
        <w:t>(i)</w:t>
        <w:tab/>
        <w:t>Promptly notify the other party ("Y") of such requirement; and</w:t>
      </w:r>
    </w:p>
    <w:p>
      <w:pPr>
        <w:pStyle w:val="Normal"/>
        <w:jc w:val="both"/>
        <w:rPr>
          <w:rFonts w:ascii="Arial" w:hAnsi="Arial" w:cs="Arial"/>
          <w:sz w:val="20"/>
        </w:rPr>
      </w:pPr>
      <w:r>
        <w:rPr>
          <w:rFonts w:cs="Arial" w:ascii="Arial" w:hAnsi="Arial"/>
          <w:sz w:val="20"/>
        </w:rPr>
        <w:t>(ii)</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jc w:val="both"/>
        <w:rPr>
          <w:rFonts w:ascii="Arial" w:hAnsi="Arial" w:cs="Arial"/>
          <w:sz w:val="20"/>
        </w:rPr>
      </w:pPr>
      <w:r>
        <w:rPr>
          <w:rFonts w:cs="Arial" w:ascii="Arial" w:hAnsi="Arial"/>
          <w:sz w:val="20"/>
        </w:rPr>
        <w:t>(iii)</w:t>
        <w:tab/>
        <w:t>Promptly forward to Y an official receipt (or certified copy) or other documentation reasonably acceptable to Y evidencing such payment to such authorities; and</w:t>
      </w:r>
    </w:p>
    <w:p>
      <w:pPr>
        <w:pStyle w:val="Normal"/>
        <w:jc w:val="both"/>
        <w:rPr>
          <w:rFonts w:ascii="Arial" w:hAnsi="Arial" w:cs="Arial"/>
          <w:sz w:val="20"/>
        </w:rPr>
      </w:pPr>
      <w:r>
        <w:rPr>
          <w:rFonts w:cs="Arial" w:ascii="Arial" w:hAnsi="Arial"/>
          <w:sz w:val="20"/>
        </w:rPr>
        <w:t>(iv)</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numPr>
          <w:ilvl w:val="0"/>
          <w:numId w:val="0"/>
        </w:numPr>
        <w:jc w:val="both"/>
        <w:outlineLvl w:val="0"/>
        <w:rPr>
          <w:rFonts w:ascii="Arial" w:hAnsi="Arial" w:cs="Arial"/>
          <w:sz w:val="20"/>
        </w:rPr>
      </w:pPr>
      <w:r>
        <w:rPr>
          <w:rFonts w:cs="Arial" w:ascii="Arial" w:hAnsi="Arial"/>
          <w:sz w:val="20"/>
        </w:rPr>
      </w:r>
    </w:p>
    <w:p>
      <w:pPr>
        <w:pStyle w:val="Normal"/>
        <w:numPr>
          <w:ilvl w:val="0"/>
          <w:numId w:val="0"/>
        </w:numPr>
        <w:jc w:val="both"/>
        <w:outlineLvl w:val="0"/>
        <w:rPr>
          <w:rFonts w:ascii="Arial" w:hAnsi="Arial" w:cs="Arial"/>
          <w:sz w:val="20"/>
        </w:rPr>
      </w:pPr>
      <w:r>
        <w:rPr>
          <w:rFonts w:cs="Arial" w:ascii="Arial" w:hAnsi="Arial"/>
          <w:sz w:val="20"/>
        </w:rPr>
        <w:t>(f)</w:t>
        <w:tab/>
        <w:t>Liability</w:t>
      </w:r>
    </w:p>
    <w:p>
      <w:pPr>
        <w:pStyle w:val="Normal"/>
        <w:jc w:val="both"/>
        <w:rPr>
          <w:rFonts w:ascii="Arial" w:hAnsi="Arial" w:cs="Arial"/>
          <w:sz w:val="20"/>
        </w:rPr>
      </w:pPr>
      <w:r>
        <w:rPr>
          <w:rFonts w:cs="Arial" w:ascii="Arial" w:hAnsi="Arial"/>
          <w:sz w:val="20"/>
        </w:rPr>
        <w:t>If:</w:t>
      </w:r>
    </w:p>
    <w:p>
      <w:pPr>
        <w:pStyle w:val="Normal"/>
        <w:jc w:val="both"/>
        <w:rPr>
          <w:rFonts w:ascii="Arial" w:hAnsi="Arial" w:cs="Arial"/>
          <w:sz w:val="20"/>
        </w:rPr>
      </w:pPr>
      <w:r>
        <w:rPr>
          <w:rFonts w:cs="Arial" w:ascii="Arial" w:hAnsi="Arial"/>
          <w:sz w:val="20"/>
        </w:rPr>
        <w:t>(i)</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jc w:val="both"/>
        <w:rPr>
          <w:rFonts w:ascii="Arial" w:hAnsi="Arial" w:cs="Arial"/>
          <w:sz w:val="20"/>
        </w:rPr>
      </w:pPr>
      <w:r>
        <w:rPr>
          <w:rFonts w:cs="Arial" w:ascii="Arial" w:hAnsi="Arial"/>
          <w:sz w:val="20"/>
        </w:rPr>
        <w:t>(ii)</w:t>
        <w:tab/>
        <w:t>X does not so deduct or withhold; and</w:t>
      </w:r>
    </w:p>
    <w:p>
      <w:pPr>
        <w:pStyle w:val="Normal"/>
        <w:jc w:val="both"/>
        <w:rPr>
          <w:rFonts w:ascii="Arial" w:hAnsi="Arial" w:cs="Arial"/>
          <w:sz w:val="20"/>
        </w:rPr>
      </w:pPr>
      <w:r>
        <w:rPr>
          <w:rFonts w:cs="Arial" w:ascii="Arial" w:hAnsi="Arial"/>
          <w:sz w:val="20"/>
        </w:rPr>
        <w:t>(iii)</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0"/>
          <w:numId w:val="0"/>
        </w:numPr>
        <w:jc w:val="both"/>
        <w:outlineLvl w:val="0"/>
        <w:rPr>
          <w:rFonts w:ascii="Arial" w:hAnsi="Arial" w:cs="Arial"/>
          <w:sz w:val="20"/>
        </w:rPr>
      </w:pPr>
      <w:r>
        <w:rPr>
          <w:rFonts w:cs="Arial" w:ascii="Arial" w:hAnsi="Arial"/>
          <w:sz w:val="20"/>
        </w:rPr>
        <w:t>(g)</w:t>
        <w:tab/>
        <w:t>Change in Tax Law</w:t>
      </w:r>
    </w:p>
    <w:p>
      <w:pPr>
        <w:pStyle w:val="Normal"/>
        <w:jc w:val="both"/>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jc w:val="both"/>
        <w:rPr>
          <w:rFonts w:ascii="Arial" w:hAnsi="Arial" w:cs="Arial"/>
          <w:sz w:val="20"/>
        </w:rPr>
      </w:pPr>
      <w:r>
        <w:rPr>
          <w:rFonts w:cs="Arial" w:ascii="Arial" w:hAnsi="Arial"/>
          <w:sz w:val="20"/>
        </w:rPr>
        <w:t>(i)</w:t>
        <w:tab/>
        <w:t>Be required to pay to the other party an additional amount in respect of an Indemnifiable Tax (except in respect of any interest payable under the Transaction); or</w:t>
      </w:r>
    </w:p>
    <w:p>
      <w:pPr>
        <w:pStyle w:val="Normal"/>
        <w:jc w:val="both"/>
        <w:rPr>
          <w:rFonts w:ascii="Arial" w:hAnsi="Arial" w:cs="Arial"/>
          <w:sz w:val="20"/>
        </w:rPr>
      </w:pPr>
      <w:r>
        <w:rPr>
          <w:rFonts w:cs="Arial" w:ascii="Arial" w:hAnsi="Arial"/>
          <w:sz w:val="20"/>
        </w:rPr>
        <w:t>(ii)</w:t>
        <w:tab/>
        <w:t>Receive a payment from which an amount is required to be deducted or withheld on account of a Tax (except in respect of any interest payable under theTransaction)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5 of this GTC. For purposes of calculating Gains, Losses and Costs under Section 5 of this GTC, the party designating the Early Termination Date as a result of a Change in Tax Law shall be treated as the Defaulting Party, and the other party shall be treated as the non-defaulting party.</w:t>
      </w:r>
    </w:p>
    <w:p>
      <w:pPr>
        <w:pStyle w:val="Normal"/>
        <w:numPr>
          <w:ilvl w:val="0"/>
          <w:numId w:val="0"/>
        </w:numPr>
        <w:jc w:val="both"/>
        <w:outlineLvl w:val="0"/>
        <w:rPr>
          <w:rFonts w:ascii="Arial" w:hAnsi="Arial" w:cs="Arial"/>
          <w:sz w:val="20"/>
        </w:rPr>
      </w:pPr>
      <w:r>
        <w:rPr>
          <w:rFonts w:cs="Arial" w:ascii="Arial" w:hAnsi="Arial"/>
          <w:sz w:val="20"/>
        </w:rPr>
        <w:t>(h)</w:t>
        <w:tab/>
        <w:t>Miscellaneous</w:t>
      </w:r>
    </w:p>
    <w:p>
      <w:pPr>
        <w:pStyle w:val="Normal"/>
        <w:jc w:val="both"/>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jc w:val="both"/>
        <w:rPr/>
      </w:pPr>
      <w:r>
        <w:rPr>
          <w:rFonts w:cs="Arial" w:ascii="Arial" w:hAnsi="Arial"/>
          <w:sz w:val="20"/>
        </w:rPr>
        <w:t>10.</w:t>
        <w:tab/>
      </w:r>
      <w:r>
        <w:rPr>
          <w:rFonts w:cs="Arial" w:ascii="Arial" w:hAnsi="Arial"/>
          <w:b/>
          <w:sz w:val="20"/>
          <w:u w:val="single"/>
        </w:rPr>
        <w:t>Currency Provisions</w:t>
      </w:r>
      <w:r>
        <w:rPr>
          <w:rFonts w:cs="Arial" w:ascii="Arial" w:hAnsi="Arial"/>
          <w:sz w:val="20"/>
        </w:rPr>
        <w:t>.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jc w:val="both"/>
        <w:rPr/>
      </w:pPr>
      <w:r>
        <w:rPr>
          <w:rFonts w:cs="Arial" w:ascii="Arial" w:hAnsi="Arial"/>
          <w:sz w:val="20"/>
        </w:rPr>
        <w:t>11.</w:t>
        <w:tab/>
      </w:r>
      <w:r>
        <w:rPr>
          <w:rFonts w:cs="Arial" w:ascii="Arial" w:hAnsi="Arial"/>
          <w:b/>
          <w:sz w:val="20"/>
          <w:u w:val="single"/>
        </w:rPr>
        <w:t>General Definitions</w:t>
      </w:r>
      <w:r>
        <w:rPr>
          <w:rFonts w:cs="Arial" w:ascii="Arial" w:hAnsi="Arial"/>
          <w:sz w:val="20"/>
        </w:rPr>
        <w:t>. As used in this GTC:</w:t>
      </w:r>
    </w:p>
    <w:p>
      <w:pPr>
        <w:pStyle w:val="Normal"/>
        <w:jc w:val="both"/>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jc w:val="both"/>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jc w:val="both"/>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jc w:val="both"/>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jc w:val="both"/>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jc w:val="both"/>
        <w:rPr/>
      </w:pPr>
      <w:r>
        <w:rPr>
          <w:rFonts w:cs="Arial" w:ascii="Arial" w:hAnsi="Arial"/>
          <w:sz w:val="20"/>
        </w:rPr>
        <w:t>"</w:t>
      </w:r>
      <w:r>
        <w:rPr>
          <w:rFonts w:cs="Arial" w:ascii="Arial" w:hAnsi="Arial"/>
          <w:i/>
          <w:sz w:val="20"/>
        </w:rPr>
        <w:t>Fixed Price Payor</w:t>
      </w:r>
      <w:r>
        <w:rPr>
          <w:rFonts w:cs="Arial" w:ascii="Arial" w:hAnsi="Arial"/>
          <w:sz w:val="20"/>
        </w:rPr>
        <w:t>" means (a) Counterparty if the terms set forth on the Website relevant to the Transaction provide that Counterparty is ‘Buying’; and (b) Enron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jc w:val="both"/>
        <w:rPr/>
      </w:pPr>
      <w:r>
        <w:rPr>
          <w:rFonts w:cs="Arial" w:ascii="Arial" w:hAnsi="Arial"/>
          <w:sz w:val="20"/>
        </w:rPr>
        <w:t>"</w:t>
      </w:r>
      <w:r>
        <w:rPr>
          <w:rFonts w:cs="Arial" w:ascii="Arial" w:hAnsi="Arial"/>
          <w:i/>
          <w:sz w:val="20"/>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pPr>
      <w:r>
        <w:rPr>
          <w:rFonts w:cs="Arial" w:ascii="Arial" w:hAnsi="Arial"/>
          <w:sz w:val="20"/>
        </w:rPr>
        <w:t>"</w:t>
      </w:r>
      <w:r>
        <w:rPr>
          <w:rFonts w:cs="Arial" w:ascii="Arial" w:hAnsi="Arial"/>
          <w:i/>
          <w:sz w:val="20"/>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jc w:val="both"/>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jc w:val="both"/>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jc w:val="both"/>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jc w:val="both"/>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jc w:val="both"/>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jc w:val="both"/>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pPr>
      <w:r>
        <w:rPr>
          <w:rFonts w:cs="Arial" w:ascii="Arial" w:hAnsi="Arial"/>
          <w:sz w:val="20"/>
        </w:rPr>
        <w:t>12.</w:t>
        <w:tab/>
      </w:r>
      <w:r>
        <w:rPr>
          <w:rFonts w:cs="Arial" w:ascii="Arial" w:hAnsi="Arial"/>
          <w:b/>
          <w:sz w:val="20"/>
        </w:rPr>
        <w:t>Additional Definitions with Respect to Options, Collars and Swaptions</w:t>
      </w:r>
      <w:r>
        <w:rPr>
          <w:rFonts w:cs="Arial" w:ascii="Arial" w:hAnsi="Arial"/>
          <w:sz w:val="20"/>
        </w:rPr>
        <w:t>. As used in this GTC:</w:t>
      </w:r>
    </w:p>
    <w:p>
      <w:pPr>
        <w:pStyle w:val="Normal"/>
        <w:jc w:val="both"/>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jc w:val="both"/>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jc w:val="both"/>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jc w:val="both"/>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jc w:val="both"/>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jc w:val="both"/>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jc w:val="both"/>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jc w:val="both"/>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jc w:val="both"/>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jc w:val="both"/>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jc w:val="both"/>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spacing w:before="100" w:after="100"/>
        <w:jc w:val="both"/>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2000-04-05T14:30:00Z</dcterms:created>
  <dc:creator>TFoy</dc:creator>
  <dc:description/>
  <dc:language>en-CA</dc:language>
  <cp:lastModifiedBy>aaziz</cp:lastModifiedBy>
  <cp:lastPrinted>2000-04-07T10:09:00Z</cp:lastPrinted>
  <dcterms:modified xsi:type="dcterms:W3CDTF">2001-05-25T06:51:00Z</dcterms:modified>
  <cp:revision>6</cp:revision>
  <dc:subject/>
  <dc:title>Financial - English law (without collateral)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