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3" w:type="dxa"/>
        <w:jc w:val="start"/>
        <w:tblInd w:w="200" w:type="dxa"/>
        <w:tblLayout w:type="fixed"/>
        <w:tblCellMar>
          <w:top w:w="0" w:type="dxa"/>
          <w:start w:w="108" w:type="dxa"/>
          <w:bottom w:w="0" w:type="dxa"/>
          <w:end w:w="108" w:type="dxa"/>
        </w:tblCellMar>
      </w:tblPr>
      <w:tblGrid>
        <w:gridCol w:w="898"/>
        <w:gridCol w:w="5490"/>
        <w:gridCol w:w="1350"/>
        <w:gridCol w:w="2965"/>
      </w:tblGrid>
      <w:tr>
        <w:trPr>
          <w:trHeight w:val="300" w:hRule="exact"/>
        </w:trPr>
        <w:tc>
          <w:tcPr>
            <w:tcW w:w="898" w:type="dxa"/>
            <w:tcBorders/>
          </w:tcPr>
          <w:p>
            <w:pPr>
              <w:pStyle w:val="Normal"/>
              <w:ind w:start="-180" w:end="0"/>
              <w:jc w:val="end"/>
              <w:rPr>
                <w:sz w:val="22"/>
              </w:rPr>
            </w:pPr>
            <w:r>
              <w:rPr>
                <w:sz w:val="22"/>
              </w:rPr>
              <w:t>To:</w:t>
            </w:r>
          </w:p>
        </w:tc>
        <w:tc>
          <w:tcPr>
            <w:tcW w:w="5490" w:type="dxa"/>
            <w:tcBorders/>
          </w:tcPr>
          <w:p>
            <w:pPr>
              <w:pStyle w:val="To"/>
              <w:rPr>
                <w:rFonts w:ascii="Times New Roman" w:hAnsi="Times New Roman" w:cs="Times New Roman"/>
                <w:sz w:val="22"/>
              </w:rPr>
            </w:pPr>
            <w:r>
              <w:rPr>
                <w:rFonts w:cs="Times New Roman" w:ascii="Times New Roman" w:hAnsi="Times New Roman"/>
                <w:sz w:val="22"/>
              </w:rPr>
              <w:t xml:space="preserve">Mark Taylor </w:t>
            </w:r>
          </w:p>
        </w:tc>
        <w:tc>
          <w:tcPr>
            <w:tcW w:w="1350" w:type="dxa"/>
            <w:tcBorders/>
          </w:tcPr>
          <w:p>
            <w:pPr>
              <w:pStyle w:val="Normal"/>
              <w:snapToGrid w:val="false"/>
              <w:ind w:start="-180" w:end="0"/>
              <w:rPr>
                <w:rFonts w:ascii="Times New Roman" w:hAnsi="Times New Roman" w:cs="Times New Roman"/>
                <w:sz w:val="22"/>
              </w:rPr>
            </w:pPr>
            <w:r>
              <w:rPr>
                <w:rFonts w:cs="Times New Roman"/>
                <w:sz w:val="22"/>
              </w:rPr>
            </w:r>
          </w:p>
        </w:tc>
        <w:tc>
          <w:tcPr>
            <w:tcW w:w="2965" w:type="dxa"/>
            <w:tcBorders/>
          </w:tcPr>
          <w:p>
            <w:pPr>
              <w:pStyle w:val="Normal"/>
              <w:snapToGrid w:val="false"/>
              <w:rPr>
                <w:sz w:val="22"/>
              </w:rPr>
            </w:pPr>
            <w:r>
              <w:rPr>
                <w:sz w:val="22"/>
              </w:rPr>
            </w:r>
          </w:p>
        </w:tc>
      </w:tr>
      <w:tr>
        <w:trPr>
          <w:trHeight w:val="216" w:hRule="exact"/>
        </w:trPr>
        <w:tc>
          <w:tcPr>
            <w:tcW w:w="898" w:type="dxa"/>
            <w:tcBorders/>
          </w:tcPr>
          <w:p>
            <w:pPr>
              <w:pStyle w:val="Normal"/>
              <w:snapToGrid w:val="false"/>
              <w:ind w:start="-180" w:end="0"/>
              <w:jc w:val="end"/>
              <w:rPr>
                <w:sz w:val="22"/>
              </w:rPr>
            </w:pPr>
            <w:r>
              <w:rPr>
                <w:sz w:val="22"/>
              </w:rPr>
            </w:r>
          </w:p>
        </w:tc>
        <w:tc>
          <w:tcPr>
            <w:tcW w:w="5490" w:type="dxa"/>
            <w:tcBorders/>
          </w:tcPr>
          <w:p>
            <w:pPr>
              <w:pStyle w:val="Normal"/>
              <w:snapToGrid w:val="false"/>
              <w:rPr>
                <w:sz w:val="22"/>
              </w:rPr>
            </w:pPr>
            <w:r>
              <w:rPr>
                <w:sz w:val="22"/>
              </w:rPr>
            </w:r>
          </w:p>
        </w:tc>
        <w:tc>
          <w:tcPr>
            <w:tcW w:w="1350" w:type="dxa"/>
            <w:tcBorders/>
          </w:tcPr>
          <w:p>
            <w:pPr>
              <w:pStyle w:val="Normal"/>
              <w:snapToGrid w:val="false"/>
              <w:ind w:start="-180" w:end="0"/>
              <w:rPr>
                <w:sz w:val="22"/>
              </w:rPr>
            </w:pPr>
            <w:r>
              <w:rPr>
                <w:sz w:val="22"/>
              </w:rPr>
            </w:r>
          </w:p>
        </w:tc>
        <w:tc>
          <w:tcPr>
            <w:tcW w:w="2965" w:type="dxa"/>
            <w:tcBorders/>
          </w:tcPr>
          <w:p>
            <w:pPr>
              <w:pStyle w:val="Normal"/>
              <w:snapToGrid w:val="false"/>
              <w:rPr>
                <w:sz w:val="22"/>
              </w:rPr>
            </w:pPr>
            <w:r>
              <w:rPr>
                <w:sz w:val="22"/>
              </w:rPr>
            </w:r>
          </w:p>
        </w:tc>
      </w:tr>
      <w:tr>
        <w:trPr>
          <w:trHeight w:val="300" w:hRule="exact"/>
        </w:trPr>
        <w:tc>
          <w:tcPr>
            <w:tcW w:w="898" w:type="dxa"/>
            <w:tcBorders/>
          </w:tcPr>
          <w:p>
            <w:pPr>
              <w:pStyle w:val="Normal"/>
              <w:ind w:start="-180" w:end="0"/>
              <w:jc w:val="end"/>
              <w:rPr>
                <w:sz w:val="22"/>
              </w:rPr>
            </w:pPr>
            <w:r>
              <w:rPr>
                <w:sz w:val="22"/>
              </w:rPr>
              <w:t>From:</w:t>
            </w:r>
          </w:p>
        </w:tc>
        <w:tc>
          <w:tcPr>
            <w:tcW w:w="5490" w:type="dxa"/>
            <w:tcBorders/>
          </w:tcPr>
          <w:p>
            <w:pPr>
              <w:pStyle w:val="From"/>
              <w:rPr>
                <w:rFonts w:ascii="Times New Roman" w:hAnsi="Times New Roman" w:cs="Times New Roman"/>
                <w:sz w:val="22"/>
              </w:rPr>
            </w:pPr>
            <w:r>
              <w:rPr>
                <w:rFonts w:cs="Times New Roman" w:ascii="Times New Roman" w:hAnsi="Times New Roman"/>
                <w:sz w:val="22"/>
              </w:rPr>
              <w:t>Kim Theriot</w:t>
            </w:r>
          </w:p>
        </w:tc>
        <w:tc>
          <w:tcPr>
            <w:tcW w:w="1350" w:type="dxa"/>
            <w:tcBorders/>
          </w:tcPr>
          <w:p>
            <w:pPr>
              <w:pStyle w:val="Normal"/>
              <w:ind w:start="-180" w:end="0"/>
              <w:jc w:val="end"/>
              <w:rPr>
                <w:sz w:val="22"/>
              </w:rPr>
            </w:pPr>
            <w:r>
              <w:rPr>
                <w:sz w:val="22"/>
              </w:rPr>
              <w:t>Department:</w:t>
            </w:r>
          </w:p>
        </w:tc>
        <w:tc>
          <w:tcPr>
            <w:tcW w:w="2965" w:type="dxa"/>
            <w:tcBorders/>
          </w:tcPr>
          <w:p>
            <w:pPr>
              <w:pStyle w:val="Department"/>
              <w:rPr>
                <w:rFonts w:ascii="Times New Roman" w:hAnsi="Times New Roman" w:cs="Times New Roman"/>
                <w:sz w:val="22"/>
              </w:rPr>
            </w:pPr>
            <w:bookmarkStart w:id="0" w:name="From"/>
            <w:bookmarkEnd w:id="0"/>
            <w:r>
              <w:rPr>
                <w:rFonts w:cs="Times New Roman" w:ascii="Times New Roman" w:hAnsi="Times New Roman"/>
                <w:sz w:val="22"/>
              </w:rPr>
              <w:t>ENA Deal Compliance</w:t>
            </w:r>
          </w:p>
        </w:tc>
      </w:tr>
      <w:tr>
        <w:trPr>
          <w:trHeight w:val="216" w:hRule="exact"/>
        </w:trPr>
        <w:tc>
          <w:tcPr>
            <w:tcW w:w="898" w:type="dxa"/>
            <w:tcBorders/>
          </w:tcPr>
          <w:p>
            <w:pPr>
              <w:pStyle w:val="Normal"/>
              <w:snapToGrid w:val="false"/>
              <w:ind w:start="-180" w:end="0"/>
              <w:jc w:val="end"/>
              <w:rPr>
                <w:rFonts w:ascii="Times New Roman" w:hAnsi="Times New Roman" w:cs="Times New Roman"/>
                <w:sz w:val="22"/>
              </w:rPr>
            </w:pPr>
            <w:r>
              <w:rPr>
                <w:rFonts w:cs="Times New Roman"/>
                <w:sz w:val="22"/>
              </w:rPr>
            </w:r>
          </w:p>
        </w:tc>
        <w:tc>
          <w:tcPr>
            <w:tcW w:w="5490" w:type="dxa"/>
            <w:tcBorders/>
          </w:tcPr>
          <w:p>
            <w:pPr>
              <w:pStyle w:val="Normal"/>
              <w:snapToGrid w:val="false"/>
              <w:rPr>
                <w:sz w:val="22"/>
              </w:rPr>
            </w:pPr>
            <w:r>
              <w:rPr>
                <w:sz w:val="22"/>
              </w:rPr>
            </w:r>
          </w:p>
        </w:tc>
        <w:tc>
          <w:tcPr>
            <w:tcW w:w="1350" w:type="dxa"/>
            <w:tcBorders/>
          </w:tcPr>
          <w:p>
            <w:pPr>
              <w:pStyle w:val="Normal"/>
              <w:snapToGrid w:val="false"/>
              <w:ind w:start="-180" w:end="0"/>
              <w:rPr>
                <w:sz w:val="22"/>
              </w:rPr>
            </w:pPr>
            <w:r>
              <w:rPr>
                <w:sz w:val="22"/>
              </w:rPr>
            </w:r>
          </w:p>
        </w:tc>
        <w:tc>
          <w:tcPr>
            <w:tcW w:w="2965" w:type="dxa"/>
            <w:tcBorders/>
          </w:tcPr>
          <w:p>
            <w:pPr>
              <w:pStyle w:val="Normal"/>
              <w:snapToGrid w:val="false"/>
              <w:rPr>
                <w:sz w:val="22"/>
              </w:rPr>
            </w:pPr>
            <w:r>
              <w:rPr>
                <w:sz w:val="22"/>
              </w:rPr>
            </w:r>
          </w:p>
        </w:tc>
      </w:tr>
      <w:tr>
        <w:trPr>
          <w:trHeight w:val="600" w:hRule="exact"/>
        </w:trPr>
        <w:tc>
          <w:tcPr>
            <w:tcW w:w="898" w:type="dxa"/>
            <w:tcBorders>
              <w:bottom w:val="single" w:sz="12" w:space="0" w:color="000000"/>
            </w:tcBorders>
          </w:tcPr>
          <w:p>
            <w:pPr>
              <w:pStyle w:val="Normal"/>
              <w:ind w:start="-180" w:end="0"/>
              <w:jc w:val="end"/>
              <w:rPr>
                <w:sz w:val="22"/>
              </w:rPr>
            </w:pPr>
            <w:r>
              <w:rPr>
                <w:sz w:val="22"/>
              </w:rPr>
              <w:t>Subject:</w:t>
            </w:r>
          </w:p>
        </w:tc>
        <w:tc>
          <w:tcPr>
            <w:tcW w:w="5490" w:type="dxa"/>
            <w:tcBorders>
              <w:bottom w:val="single" w:sz="12" w:space="0" w:color="000000"/>
            </w:tcBorders>
          </w:tcPr>
          <w:p>
            <w:pPr>
              <w:pStyle w:val="Subject"/>
              <w:rPr>
                <w:rFonts w:ascii="Times New Roman" w:hAnsi="Times New Roman" w:cs="Times New Roman"/>
                <w:sz w:val="22"/>
              </w:rPr>
            </w:pPr>
            <w:r>
              <w:rPr>
                <w:rFonts w:cs="Times New Roman" w:ascii="Times New Roman" w:hAnsi="Times New Roman"/>
                <w:sz w:val="22"/>
              </w:rPr>
              <w:t>Trade Confirmation Signature Authority</w:t>
            </w:r>
          </w:p>
        </w:tc>
        <w:tc>
          <w:tcPr>
            <w:tcW w:w="1350" w:type="dxa"/>
            <w:tcBorders>
              <w:bottom w:val="single" w:sz="12" w:space="0" w:color="000000"/>
            </w:tcBorders>
          </w:tcPr>
          <w:p>
            <w:pPr>
              <w:pStyle w:val="Normal"/>
              <w:ind w:start="-180" w:end="0"/>
              <w:jc w:val="end"/>
              <w:rPr>
                <w:sz w:val="22"/>
              </w:rPr>
            </w:pPr>
            <w:r>
              <w:rPr>
                <w:sz w:val="22"/>
              </w:rPr>
              <w:t>Date:</w:t>
            </w:r>
          </w:p>
        </w:tc>
        <w:tc>
          <w:tcPr>
            <w:tcW w:w="2965" w:type="dxa"/>
            <w:tcBorders>
              <w:bottom w:val="single" w:sz="12" w:space="0" w:color="000000"/>
            </w:tcBorders>
          </w:tcPr>
          <w:p>
            <w:pPr>
              <w:pStyle w:val="Date"/>
              <w:rPr>
                <w:rFonts w:ascii="Times New Roman" w:hAnsi="Times New Roman" w:cs="Times New Roman"/>
                <w:sz w:val="22"/>
              </w:rPr>
            </w:pPr>
            <w:r>
              <w:rPr>
                <w:rFonts w:cs="Times New Roman" w:ascii="Times New Roman" w:hAnsi="Times New Roman"/>
                <w:sz w:val="22"/>
              </w:rPr>
              <w:t>August 8, 2001</w:t>
            </w:r>
          </w:p>
        </w:tc>
      </w:tr>
    </w:tbl>
    <w:p>
      <w:pPr>
        <w:pStyle w:val="Body"/>
        <w:rPr>
          <w:sz w:val="22"/>
        </w:rPr>
      </w:pPr>
      <w:r>
        <w:rPr>
          <w:sz w:val="22"/>
        </w:rPr>
      </w:r>
      <w:bookmarkStart w:id="1" w:name="StartOfMemo"/>
      <w:bookmarkStart w:id="2" w:name="StartOfMemo"/>
      <w:bookmarkEnd w:id="2"/>
    </w:p>
    <w:p>
      <w:pPr>
        <w:pStyle w:val="Body"/>
        <w:jc w:val="both"/>
        <w:rPr>
          <w:rFonts w:ascii="Times New Roman" w:hAnsi="Times New Roman" w:cs="Times New Roman"/>
          <w:color w:val="000000"/>
          <w:sz w:val="22"/>
        </w:rPr>
      </w:pPr>
      <w:r>
        <w:rPr>
          <w:rFonts w:cs="Times New Roman" w:ascii="Times New Roman" w:hAnsi="Times New Roman"/>
          <w:color w:val="000000"/>
          <w:sz w:val="22"/>
        </w:rPr>
        <w:t xml:space="preserve">Enclosed you will please find new requests for “signature authority “ which are requested updates to the current signature authority granted by the Directors of various Enron entities. </w:t>
      </w:r>
    </w:p>
    <w:p>
      <w:pPr>
        <w:pStyle w:val="Body"/>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t>In short, these changes are granting signature authority to the following individuals for the companies listed:</w:t>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numPr>
          <w:ilvl w:val="0"/>
          <w:numId w:val="3"/>
        </w:numPr>
        <w:tabs>
          <w:tab w:val="clear" w:pos="720"/>
          <w:tab w:val="left" w:pos="492" w:leader="none"/>
        </w:tabs>
        <w:ind w:hanging="360" w:start="432" w:end="0"/>
        <w:jc w:val="both"/>
        <w:rPr>
          <w:rFonts w:ascii="Times New Roman" w:hAnsi="Times New Roman" w:cs="Times New Roman"/>
          <w:color w:val="000000"/>
          <w:sz w:val="22"/>
        </w:rPr>
      </w:pPr>
      <w:r>
        <w:rPr>
          <w:rFonts w:cs="Times New Roman" w:ascii="Times New Roman" w:hAnsi="Times New Roman"/>
          <w:color w:val="000000"/>
          <w:sz w:val="22"/>
        </w:rPr>
        <w:t xml:space="preserve">Lisa McClendon – Enron North America Corp. </w:t>
      </w:r>
    </w:p>
    <w:p>
      <w:pPr>
        <w:pStyle w:val="Body"/>
        <w:numPr>
          <w:ilvl w:val="0"/>
          <w:numId w:val="3"/>
        </w:numPr>
        <w:tabs>
          <w:tab w:val="clear" w:pos="720"/>
          <w:tab w:val="left" w:pos="492" w:leader="none"/>
        </w:tabs>
        <w:ind w:hanging="360" w:start="432" w:end="0"/>
        <w:jc w:val="both"/>
        <w:rPr>
          <w:rFonts w:ascii="Times New Roman" w:hAnsi="Times New Roman" w:cs="Times New Roman"/>
          <w:color w:val="000000"/>
          <w:sz w:val="22"/>
        </w:rPr>
      </w:pPr>
      <w:r>
        <w:rPr>
          <w:rFonts w:cs="Times New Roman" w:ascii="Times New Roman" w:hAnsi="Times New Roman"/>
          <w:color w:val="000000"/>
          <w:sz w:val="22"/>
        </w:rPr>
        <w:t>Linda Loukanis – Enron North America Corp.</w:t>
      </w:r>
    </w:p>
    <w:p>
      <w:pPr>
        <w:pStyle w:val="Body"/>
        <w:numPr>
          <w:ilvl w:val="0"/>
          <w:numId w:val="3"/>
        </w:numPr>
        <w:tabs>
          <w:tab w:val="clear" w:pos="720"/>
          <w:tab w:val="left" w:pos="492" w:leader="none"/>
        </w:tabs>
        <w:ind w:hanging="360" w:start="432" w:end="0"/>
        <w:jc w:val="both"/>
        <w:rPr>
          <w:rFonts w:ascii="Times New Roman" w:hAnsi="Times New Roman" w:cs="Times New Roman"/>
          <w:color w:val="000000"/>
          <w:sz w:val="22"/>
        </w:rPr>
      </w:pPr>
      <w:r>
        <w:rPr>
          <w:rFonts w:cs="Times New Roman" w:ascii="Times New Roman" w:hAnsi="Times New Roman"/>
          <w:color w:val="000000"/>
          <w:sz w:val="22"/>
        </w:rPr>
        <w:t>Herbert Goodwin III – Enron North America Corp.</w:t>
      </w:r>
    </w:p>
    <w:p>
      <w:pPr>
        <w:pStyle w:val="Body"/>
        <w:numPr>
          <w:ilvl w:val="0"/>
          <w:numId w:val="3"/>
        </w:numPr>
        <w:tabs>
          <w:tab w:val="clear" w:pos="720"/>
          <w:tab w:val="left" w:pos="492" w:leader="none"/>
        </w:tabs>
        <w:ind w:hanging="360" w:start="432" w:end="0"/>
        <w:jc w:val="both"/>
        <w:rPr>
          <w:rFonts w:ascii="Times New Roman" w:hAnsi="Times New Roman" w:cs="Times New Roman"/>
          <w:color w:val="000000"/>
          <w:sz w:val="22"/>
        </w:rPr>
      </w:pPr>
      <w:r>
        <w:rPr>
          <w:rFonts w:cs="Times New Roman" w:ascii="Times New Roman" w:hAnsi="Times New Roman"/>
          <w:color w:val="000000"/>
          <w:sz w:val="22"/>
        </w:rPr>
        <w:t>Doug Gilbert-Smith – Enron North America Corp.</w:t>
      </w:r>
    </w:p>
    <w:p>
      <w:pPr>
        <w:pStyle w:val="Body"/>
        <w:numPr>
          <w:ilvl w:val="0"/>
          <w:numId w:val="3"/>
        </w:numPr>
        <w:tabs>
          <w:tab w:val="clear" w:pos="720"/>
          <w:tab w:val="left" w:pos="492" w:leader="none"/>
        </w:tabs>
        <w:ind w:hanging="360" w:start="432" w:end="0"/>
        <w:jc w:val="both"/>
        <w:rPr>
          <w:rFonts w:ascii="Times New Roman" w:hAnsi="Times New Roman" w:cs="Times New Roman"/>
          <w:color w:val="000000"/>
          <w:sz w:val="22"/>
        </w:rPr>
      </w:pPr>
      <w:r>
        <w:rPr>
          <w:rFonts w:cs="Times New Roman" w:ascii="Times New Roman" w:hAnsi="Times New Roman"/>
          <w:color w:val="000000"/>
          <w:sz w:val="22"/>
        </w:rPr>
        <w:t>Bianca Ornelas – Enron North America Corp. and Risk Management &amp; Trading Corp.</w:t>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t xml:space="preserve">These are signatory additions for Global Markets Physical Confirmations, Paper, Pulp and Steel Physical Confirmations, Power Financial Confirmations for Enron North America Corp., and Financial Confirmations for Enron North America Corp. and Risk Management &amp; Trading Corp. </w:t>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t>As well, we are requesting removal of signature authority for the following individual for the companies listed:</w:t>
      </w:r>
    </w:p>
    <w:p>
      <w:pPr>
        <w:pStyle w:val="Body"/>
        <w:numPr>
          <w:ilvl w:val="0"/>
          <w:numId w:val="2"/>
        </w:numPr>
        <w:jc w:val="both"/>
        <w:rPr>
          <w:rFonts w:ascii="Times New Roman" w:hAnsi="Times New Roman" w:cs="Times New Roman"/>
          <w:color w:val="000000"/>
          <w:sz w:val="22"/>
        </w:rPr>
      </w:pPr>
      <w:r>
        <w:rPr>
          <w:rFonts w:cs="Times New Roman" w:ascii="Times New Roman" w:hAnsi="Times New Roman"/>
          <w:color w:val="000000"/>
          <w:sz w:val="22"/>
        </w:rPr>
        <w:t>Mike Moscoso – Enron North America Corp. and Risk Management &amp; Trading Corp.</w:t>
      </w:r>
    </w:p>
    <w:p>
      <w:pPr>
        <w:pStyle w:val="Body"/>
        <w:numPr>
          <w:ilvl w:val="0"/>
          <w:numId w:val="2"/>
        </w:numPr>
        <w:jc w:val="both"/>
        <w:rPr>
          <w:rFonts w:ascii="Times New Roman" w:hAnsi="Times New Roman" w:cs="Times New Roman"/>
          <w:color w:val="000000"/>
          <w:sz w:val="22"/>
        </w:rPr>
      </w:pPr>
      <w:r>
        <w:rPr>
          <w:rFonts w:cs="Times New Roman" w:ascii="Times New Roman" w:hAnsi="Times New Roman"/>
          <w:color w:val="000000"/>
          <w:sz w:val="22"/>
        </w:rPr>
        <w:t>Kristen Hanson – Enron North America Corp. and Risk Management &amp; Trading Corp.</w:t>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t>We would appreciate the assistance by ENA Legal in obtaining Board of Director approval for these signature authority changes.</w:t>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t>Please do not hesitate to call me (ext. 3-1771) if you have any questions or require additional information.</w:t>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Body"/>
        <w:jc w:val="both"/>
        <w:rPr>
          <w:rFonts w:ascii="Times New Roman" w:hAnsi="Times New Roman" w:cs="Times New Roman"/>
          <w:color w:val="000000"/>
          <w:sz w:val="22"/>
        </w:rPr>
      </w:pPr>
      <w:r>
        <w:rPr>
          <w:rFonts w:cs="Times New Roman" w:ascii="Times New Roman" w:hAnsi="Times New Roman"/>
          <w:color w:val="000000"/>
          <w:sz w:val="22"/>
        </w:rPr>
        <w:t>Attachments</w:t>
      </w:r>
    </w:p>
    <w:p>
      <w:pPr>
        <w:pStyle w:val="Body"/>
        <w:jc w:val="both"/>
        <w:rPr>
          <w:rFonts w:ascii="Times New Roman" w:hAnsi="Times New Roman" w:cs="Times New Roman"/>
          <w:color w:val="000000"/>
          <w:sz w:val="22"/>
        </w:rPr>
      </w:pPr>
      <w:r>
        <w:rPr>
          <w:rFonts w:cs="Times New Roman" w:ascii="Times New Roman" w:hAnsi="Times New Roman"/>
          <w:color w:val="000000"/>
          <w:sz w:val="22"/>
        </w:rPr>
      </w:r>
    </w:p>
    <w:p>
      <w:pPr>
        <w:pStyle w:val="Normal"/>
        <w:rPr/>
      </w:pPr>
      <w:r>
        <w:rPr>
          <w:b/>
          <w:sz w:val="22"/>
        </w:rPr>
        <w:t xml:space="preserve">CC:   </w:t>
      </w:r>
      <w:r>
        <w:rPr>
          <w:sz w:val="22"/>
        </w:rPr>
        <w:t>Jeff Sorenson</w:t>
      </w:r>
    </w:p>
    <w:p>
      <w:pPr>
        <w:pStyle w:val="Normal"/>
        <w:rPr>
          <w:sz w:val="22"/>
        </w:rPr>
      </w:pPr>
      <w:r>
        <w:rPr>
          <w:sz w:val="22"/>
        </w:rPr>
        <w:t xml:space="preserve">          </w:t>
      </w:r>
      <w:r>
        <w:rPr>
          <w:sz w:val="22"/>
        </w:rPr>
        <w:t>Joe Hunter</w:t>
      </w:r>
    </w:p>
    <w:p>
      <w:pPr>
        <w:pStyle w:val="Normal"/>
        <w:rPr>
          <w:sz w:val="22"/>
        </w:rPr>
      </w:pPr>
      <w:r>
        <w:rPr>
          <w:sz w:val="22"/>
        </w:rPr>
        <w:t xml:space="preserve">          </w:t>
      </w:r>
      <w:r>
        <w:rPr>
          <w:sz w:val="22"/>
        </w:rPr>
        <w:t>Melissa Murphy</w:t>
      </w:r>
    </w:p>
    <w:p>
      <w:pPr>
        <w:pStyle w:val="Department"/>
        <w:rPr>
          <w:rFonts w:ascii="Times New Roman" w:hAnsi="Times New Roman" w:cs="Times New Roman"/>
          <w:sz w:val="22"/>
        </w:rPr>
      </w:pPr>
      <w:r>
        <w:rPr>
          <w:rFonts w:cs="Times New Roman" w:ascii="Times New Roman" w:hAnsi="Times New Roman"/>
          <w:sz w:val="22"/>
        </w:rPr>
        <w:tab/>
      </w:r>
      <w:r>
        <w:br w:type="page"/>
      </w:r>
    </w:p>
    <w:p>
      <w:pPr>
        <w:pStyle w:val="Normal"/>
        <w:rPr>
          <w:b/>
          <w:sz w:val="28"/>
        </w:rPr>
      </w:pPr>
      <w:r>
        <w:rPr>
          <w:b/>
          <w:sz w:val="28"/>
        </w:rPr>
        <w:t xml:space="preserve">Enron North America Corp.  </w:t>
      </w:r>
    </w:p>
    <w:p>
      <w:pPr>
        <w:pStyle w:val="Heading1"/>
        <w:ind w:hanging="0" w:start="0"/>
        <w:rPr/>
      </w:pPr>
      <w:r>
        <w:rPr/>
        <w:t>Recommendations for Signing Authority for Trade Confirmation Letters:</w:t>
      </w:r>
    </w:p>
    <w:tbl>
      <w:tblPr>
        <w:tblW w:w="8861" w:type="dxa"/>
        <w:jc w:val="start"/>
        <w:tblInd w:w="0" w:type="dxa"/>
        <w:tblLayout w:type="fixed"/>
        <w:tblCellMar>
          <w:top w:w="0" w:type="dxa"/>
          <w:start w:w="108" w:type="dxa"/>
          <w:bottom w:w="0" w:type="dxa"/>
          <w:end w:w="108" w:type="dxa"/>
        </w:tblCellMar>
      </w:tblPr>
      <w:tblGrid>
        <w:gridCol w:w="1998"/>
        <w:gridCol w:w="1800"/>
        <w:gridCol w:w="1668"/>
        <w:gridCol w:w="132"/>
        <w:gridCol w:w="1781"/>
        <w:gridCol w:w="19"/>
        <w:gridCol w:w="1440"/>
        <w:gridCol w:w="23"/>
      </w:tblGrid>
      <w:tr>
        <w:trPr/>
        <w:tc>
          <w:tcPr>
            <w:tcW w:w="3798" w:type="dxa"/>
            <w:gridSpan w:val="2"/>
            <w:tcBorders/>
          </w:tcPr>
          <w:p>
            <w:pPr>
              <w:pStyle w:val="Normal"/>
              <w:snapToGrid w:val="false"/>
              <w:rPr/>
            </w:pPr>
            <w:r>
              <w:rPr/>
            </w:r>
          </w:p>
        </w:tc>
        <w:tc>
          <w:tcPr>
            <w:tcW w:w="3600" w:type="dxa"/>
            <w:gridSpan w:val="4"/>
            <w:tcBorders>
              <w:bottom w:val="single" w:sz="4" w:space="0" w:color="000000"/>
            </w:tcBorders>
          </w:tcPr>
          <w:p>
            <w:pPr>
              <w:pStyle w:val="Heading4"/>
              <w:ind w:hanging="0" w:start="0"/>
              <w:jc w:val="center"/>
              <w:rPr>
                <w:sz w:val="20"/>
              </w:rPr>
            </w:pPr>
            <w:r>
              <w:rPr>
                <w:sz w:val="20"/>
              </w:rPr>
              <w:t>Limitation</w:t>
            </w:r>
          </w:p>
        </w:tc>
        <w:tc>
          <w:tcPr>
            <w:tcW w:w="1440" w:type="dxa"/>
            <w:tcBorders>
              <w:bottom w:val="single" w:sz="4" w:space="0" w:color="000000"/>
            </w:tcBorders>
          </w:tcPr>
          <w:p>
            <w:pPr>
              <w:pStyle w:val="Heading4"/>
              <w:snapToGrid w:val="false"/>
              <w:ind w:hanging="0" w:start="0"/>
              <w:jc w:val="center"/>
              <w:rPr>
                <w:sz w:val="20"/>
              </w:rPr>
            </w:pPr>
            <w:r>
              <w:rPr>
                <w:sz w:val="20"/>
              </w:rPr>
            </w:r>
          </w:p>
        </w:tc>
        <w:tc>
          <w:tcPr>
            <w:tcW w:w="23" w:type="dxa"/>
            <w:tcBorders/>
            <w:tcMar>
              <w:start w:w="0" w:type="dxa"/>
              <w:end w:w="0" w:type="dxa"/>
            </w:tcMar>
          </w:tcPr>
          <w:p>
            <w:pPr>
              <w:pStyle w:val="Normal"/>
              <w:snapToGrid w:val="false"/>
              <w:rPr>
                <w:sz w:val="20"/>
              </w:rPr>
            </w:pPr>
            <w:r>
              <w:rPr>
                <w:sz w:val="20"/>
              </w:rPr>
            </w:r>
          </w:p>
        </w:tc>
      </w:tr>
      <w:tr>
        <w:trPr/>
        <w:tc>
          <w:tcPr>
            <w:tcW w:w="1998" w:type="dxa"/>
            <w:tcBorders/>
          </w:tcPr>
          <w:p>
            <w:pPr>
              <w:pStyle w:val="Heading5"/>
              <w:ind w:hanging="0" w:start="0"/>
              <w:rPr/>
            </w:pPr>
            <w:r>
              <w:rPr/>
              <w:t>Name</w:t>
            </w:r>
          </w:p>
        </w:tc>
        <w:tc>
          <w:tcPr>
            <w:tcW w:w="1800" w:type="dxa"/>
            <w:tcBorders/>
          </w:tcPr>
          <w:p>
            <w:pPr>
              <w:pStyle w:val="Heading2"/>
              <w:ind w:hanging="0" w:start="0"/>
              <w:jc w:val="center"/>
              <w:rPr>
                <w:sz w:val="20"/>
              </w:rPr>
            </w:pPr>
            <w:r>
              <w:rPr>
                <w:sz w:val="20"/>
              </w:rPr>
              <w:t>Transaction Type</w:t>
            </w:r>
          </w:p>
        </w:tc>
        <w:tc>
          <w:tcPr>
            <w:tcW w:w="1668" w:type="dxa"/>
            <w:tcBorders/>
          </w:tcPr>
          <w:p>
            <w:pPr>
              <w:pStyle w:val="Heading3"/>
              <w:ind w:hanging="0" w:start="0"/>
              <w:rPr>
                <w:sz w:val="20"/>
              </w:rPr>
            </w:pPr>
            <w:r>
              <w:rPr>
                <w:sz w:val="20"/>
              </w:rPr>
              <w:t>Previous Authority Limits</w:t>
            </w:r>
          </w:p>
        </w:tc>
        <w:tc>
          <w:tcPr>
            <w:tcW w:w="1913" w:type="dxa"/>
            <w:gridSpan w:val="2"/>
            <w:tcBorders/>
          </w:tcPr>
          <w:p>
            <w:pPr>
              <w:pStyle w:val="Heading3"/>
              <w:ind w:hanging="0" w:start="0"/>
              <w:rPr>
                <w:sz w:val="20"/>
              </w:rPr>
            </w:pPr>
            <w:r>
              <w:rPr>
                <w:sz w:val="20"/>
              </w:rPr>
              <w:t>Recommended Authority Limits</w:t>
            </w:r>
          </w:p>
        </w:tc>
        <w:tc>
          <w:tcPr>
            <w:tcW w:w="1482" w:type="dxa"/>
            <w:gridSpan w:val="3"/>
            <w:tcBorders/>
          </w:tcPr>
          <w:p>
            <w:pPr>
              <w:pStyle w:val="Heading3"/>
              <w:ind w:hanging="0" w:start="0"/>
              <w:rPr>
                <w:sz w:val="20"/>
              </w:rPr>
            </w:pPr>
            <w:r>
              <w:rPr>
                <w:sz w:val="20"/>
              </w:rPr>
              <w:t>Effective Date</w:t>
            </w:r>
          </w:p>
        </w:tc>
      </w:tr>
      <w:tr>
        <w:trPr/>
        <w:tc>
          <w:tcPr>
            <w:tcW w:w="1998" w:type="dxa"/>
            <w:tcBorders/>
          </w:tcPr>
          <w:p>
            <w:pPr>
              <w:pStyle w:val="Normal"/>
              <w:rPr/>
            </w:pPr>
            <w:r>
              <w:rPr/>
              <w:t>Lisa McClendon</w:t>
            </w:r>
          </w:p>
        </w:tc>
        <w:tc>
          <w:tcPr>
            <w:tcW w:w="1800" w:type="dxa"/>
            <w:tcBorders/>
          </w:tcPr>
          <w:p>
            <w:pPr>
              <w:pStyle w:val="Normal"/>
              <w:rPr/>
            </w:pPr>
            <w:r>
              <w:rPr/>
              <w:t>Forest Products and Steel Commodity Purchase and Sale transactions</w:t>
            </w:r>
          </w:p>
        </w:tc>
        <w:tc>
          <w:tcPr>
            <w:tcW w:w="1800" w:type="dxa"/>
            <w:gridSpan w:val="2"/>
            <w:tcBorders/>
          </w:tcPr>
          <w:p>
            <w:pPr>
              <w:pStyle w:val="Normal"/>
              <w:jc w:val="center"/>
              <w:rPr/>
            </w:pPr>
            <w:r>
              <w:rPr/>
              <w:t>Not authorized</w:t>
            </w:r>
          </w:p>
        </w:tc>
        <w:tc>
          <w:tcPr>
            <w:tcW w:w="1781" w:type="dxa"/>
            <w:tcBorders/>
          </w:tcPr>
          <w:p>
            <w:pPr>
              <w:pStyle w:val="Normal"/>
              <w:jc w:val="center"/>
              <w:rPr/>
            </w:pPr>
            <w:r>
              <w:rPr/>
              <w:t>None</w:t>
            </w:r>
          </w:p>
        </w:tc>
        <w:tc>
          <w:tcPr>
            <w:tcW w:w="1482" w:type="dxa"/>
            <w:gridSpan w:val="3"/>
            <w:tcBorders/>
          </w:tcPr>
          <w:p>
            <w:pPr>
              <w:pStyle w:val="Normal"/>
              <w:rPr/>
            </w:pPr>
            <w:r>
              <w:rPr/>
              <w:t>May 1, 2001</w:t>
            </w:r>
          </w:p>
        </w:tc>
      </w:tr>
      <w:tr>
        <w:trPr/>
        <w:tc>
          <w:tcPr>
            <w:tcW w:w="1998" w:type="dxa"/>
            <w:tcBorders/>
          </w:tcPr>
          <w:p>
            <w:pPr>
              <w:pStyle w:val="Normal"/>
              <w:rPr/>
            </w:pPr>
            <w:r>
              <w:rPr/>
              <w:t>Linda Loukanis</w:t>
            </w:r>
          </w:p>
        </w:tc>
        <w:tc>
          <w:tcPr>
            <w:tcW w:w="1800" w:type="dxa"/>
            <w:tcBorders/>
          </w:tcPr>
          <w:p>
            <w:pPr>
              <w:pStyle w:val="Normal"/>
              <w:rPr/>
            </w:pPr>
            <w:r>
              <w:rPr/>
              <w:t>Energy Commodity and Emissions Purchase and Sales Transactions</w:t>
            </w:r>
          </w:p>
        </w:tc>
        <w:tc>
          <w:tcPr>
            <w:tcW w:w="1800" w:type="dxa"/>
            <w:gridSpan w:val="2"/>
            <w:tcBorders/>
          </w:tcPr>
          <w:p>
            <w:pPr>
              <w:pStyle w:val="Normal"/>
              <w:jc w:val="center"/>
              <w:rPr/>
            </w:pPr>
            <w:r>
              <w:rPr/>
              <w:t>Not authorized</w:t>
            </w:r>
          </w:p>
        </w:tc>
        <w:tc>
          <w:tcPr>
            <w:tcW w:w="1781" w:type="dxa"/>
            <w:tcBorders/>
          </w:tcPr>
          <w:p>
            <w:pPr>
              <w:pStyle w:val="Normal"/>
              <w:jc w:val="center"/>
              <w:rPr/>
            </w:pPr>
            <w:r>
              <w:rPr/>
              <w:t>None</w:t>
            </w:r>
          </w:p>
        </w:tc>
        <w:tc>
          <w:tcPr>
            <w:tcW w:w="1482" w:type="dxa"/>
            <w:gridSpan w:val="3"/>
            <w:tcBorders/>
          </w:tcPr>
          <w:p>
            <w:pPr>
              <w:pStyle w:val="Normal"/>
              <w:rPr/>
            </w:pPr>
            <w:r>
              <w:rPr/>
              <w:t>May 1, 2001</w:t>
            </w:r>
          </w:p>
        </w:tc>
      </w:tr>
      <w:tr>
        <w:trPr/>
        <w:tc>
          <w:tcPr>
            <w:tcW w:w="1998" w:type="dxa"/>
            <w:tcBorders/>
          </w:tcPr>
          <w:p>
            <w:pPr>
              <w:pStyle w:val="Normal"/>
              <w:rPr/>
            </w:pPr>
            <w:r>
              <w:rPr/>
              <w:t>Herbert Goodwin III</w:t>
            </w:r>
          </w:p>
        </w:tc>
        <w:tc>
          <w:tcPr>
            <w:tcW w:w="1800" w:type="dxa"/>
            <w:tcBorders/>
          </w:tcPr>
          <w:p>
            <w:pPr>
              <w:pStyle w:val="Normal"/>
              <w:rPr/>
            </w:pPr>
            <w:r>
              <w:rPr/>
              <w:t>Energy Commodity and Purchase and Sales Transactions</w:t>
            </w:r>
          </w:p>
        </w:tc>
        <w:tc>
          <w:tcPr>
            <w:tcW w:w="1800" w:type="dxa"/>
            <w:gridSpan w:val="2"/>
            <w:tcBorders/>
          </w:tcPr>
          <w:p>
            <w:pPr>
              <w:pStyle w:val="Normal"/>
              <w:jc w:val="center"/>
              <w:rPr/>
            </w:pPr>
            <w:r>
              <w:rPr/>
              <w:t>Not authorized</w:t>
            </w:r>
          </w:p>
        </w:tc>
        <w:tc>
          <w:tcPr>
            <w:tcW w:w="1781" w:type="dxa"/>
            <w:tcBorders/>
          </w:tcPr>
          <w:p>
            <w:pPr>
              <w:pStyle w:val="Normal"/>
              <w:jc w:val="center"/>
              <w:rPr/>
            </w:pPr>
            <w:r>
              <w:rPr/>
              <w:t>None</w:t>
            </w:r>
          </w:p>
        </w:tc>
        <w:tc>
          <w:tcPr>
            <w:tcW w:w="1482" w:type="dxa"/>
            <w:gridSpan w:val="3"/>
            <w:tcBorders/>
          </w:tcPr>
          <w:p>
            <w:pPr>
              <w:pStyle w:val="Normal"/>
              <w:rPr/>
            </w:pPr>
            <w:r>
              <w:rPr/>
              <w:t>May 1, 2001</w:t>
            </w:r>
          </w:p>
        </w:tc>
      </w:tr>
      <w:tr>
        <w:trPr/>
        <w:tc>
          <w:tcPr>
            <w:tcW w:w="1998" w:type="dxa"/>
            <w:tcBorders/>
          </w:tcPr>
          <w:p>
            <w:pPr>
              <w:pStyle w:val="Normal"/>
              <w:rPr/>
            </w:pPr>
            <w:r>
              <w:rPr/>
              <w:t>Doug Gilbert-Smith</w:t>
            </w:r>
          </w:p>
        </w:tc>
        <w:tc>
          <w:tcPr>
            <w:tcW w:w="1800" w:type="dxa"/>
            <w:tcBorders/>
          </w:tcPr>
          <w:p>
            <w:pPr>
              <w:pStyle w:val="Normal"/>
              <w:rPr/>
            </w:pPr>
            <w:r>
              <w:rPr/>
              <w:t>Swap, Option, or other Cash-Settled Derivative Transactions</w:t>
            </w:r>
          </w:p>
        </w:tc>
        <w:tc>
          <w:tcPr>
            <w:tcW w:w="1800" w:type="dxa"/>
            <w:gridSpan w:val="2"/>
            <w:tcBorders/>
          </w:tcPr>
          <w:p>
            <w:pPr>
              <w:pStyle w:val="Normal"/>
              <w:jc w:val="center"/>
              <w:rPr/>
            </w:pPr>
            <w:r>
              <w:rPr/>
              <w:t>Not authorized</w:t>
            </w:r>
          </w:p>
        </w:tc>
        <w:tc>
          <w:tcPr>
            <w:tcW w:w="1781" w:type="dxa"/>
            <w:tcBorders/>
          </w:tcPr>
          <w:p>
            <w:pPr>
              <w:pStyle w:val="Normal"/>
              <w:jc w:val="center"/>
              <w:rPr/>
            </w:pPr>
            <w:r>
              <w:rPr/>
              <w:t>None</w:t>
            </w:r>
          </w:p>
        </w:tc>
        <w:tc>
          <w:tcPr>
            <w:tcW w:w="1482" w:type="dxa"/>
            <w:gridSpan w:val="3"/>
            <w:tcBorders/>
          </w:tcPr>
          <w:p>
            <w:pPr>
              <w:pStyle w:val="Normal"/>
              <w:rPr/>
            </w:pPr>
            <w:r>
              <w:rPr/>
              <w:t>May 1, 2001</w:t>
            </w:r>
          </w:p>
        </w:tc>
      </w:tr>
      <w:tr>
        <w:trPr/>
        <w:tc>
          <w:tcPr>
            <w:tcW w:w="1998" w:type="dxa"/>
            <w:tcBorders>
              <w:bottom w:val="single" w:sz="4" w:space="0" w:color="000000"/>
            </w:tcBorders>
          </w:tcPr>
          <w:p>
            <w:pPr>
              <w:pStyle w:val="Normal"/>
              <w:rPr/>
            </w:pPr>
            <w:r>
              <w:rPr/>
              <w:t>Bianca Ornelas</w:t>
            </w:r>
          </w:p>
        </w:tc>
        <w:tc>
          <w:tcPr>
            <w:tcW w:w="1800" w:type="dxa"/>
            <w:tcBorders>
              <w:bottom w:val="single" w:sz="4" w:space="0" w:color="000000"/>
            </w:tcBorders>
          </w:tcPr>
          <w:p>
            <w:pPr>
              <w:pStyle w:val="Normal"/>
              <w:rPr/>
            </w:pPr>
            <w:r>
              <w:rPr/>
              <w:t>Swap, Option, or other Cash-Settled Derivative Transactions</w:t>
            </w:r>
          </w:p>
        </w:tc>
        <w:tc>
          <w:tcPr>
            <w:tcW w:w="1800" w:type="dxa"/>
            <w:gridSpan w:val="2"/>
            <w:tcBorders>
              <w:bottom w:val="single" w:sz="4" w:space="0" w:color="000000"/>
            </w:tcBorders>
          </w:tcPr>
          <w:p>
            <w:pPr>
              <w:pStyle w:val="Normal"/>
              <w:jc w:val="center"/>
              <w:rPr/>
            </w:pPr>
            <w:r>
              <w:rPr/>
              <w:t>Not authorized</w:t>
            </w:r>
          </w:p>
        </w:tc>
        <w:tc>
          <w:tcPr>
            <w:tcW w:w="1781" w:type="dxa"/>
            <w:tcBorders>
              <w:bottom w:val="single" w:sz="4" w:space="0" w:color="000000"/>
            </w:tcBorders>
          </w:tcPr>
          <w:p>
            <w:pPr>
              <w:pStyle w:val="Normal"/>
              <w:jc w:val="center"/>
              <w:rPr/>
            </w:pPr>
            <w:r>
              <w:rPr/>
              <w:t>None</w:t>
            </w:r>
          </w:p>
        </w:tc>
        <w:tc>
          <w:tcPr>
            <w:tcW w:w="1482" w:type="dxa"/>
            <w:gridSpan w:val="3"/>
            <w:tcBorders>
              <w:bottom w:val="single" w:sz="4" w:space="0" w:color="000000"/>
            </w:tcBorders>
          </w:tcPr>
          <w:p>
            <w:pPr>
              <w:pStyle w:val="Normal"/>
              <w:rPr/>
            </w:pPr>
            <w:r>
              <w:rPr/>
              <w:t>May 1, 2001</w:t>
            </w:r>
          </w:p>
        </w:tc>
      </w:tr>
    </w:tbl>
    <w:p>
      <w:pPr>
        <w:pStyle w:val="Normal"/>
        <w:rPr/>
      </w:pPr>
      <w:r>
        <w:rPr/>
      </w:r>
    </w:p>
    <w:p>
      <w:pPr>
        <w:pStyle w:val="Normal"/>
        <w:rPr/>
      </w:pPr>
      <w:r>
        <w:rPr/>
        <w:t>Recommendations for Removal of Signing Authority for Trade Confirmation Letters:</w:t>
      </w:r>
    </w:p>
    <w:tbl>
      <w:tblPr>
        <w:tblW w:w="6012" w:type="dxa"/>
        <w:jc w:val="start"/>
        <w:tblInd w:w="0" w:type="dxa"/>
        <w:tblLayout w:type="fixed"/>
        <w:tblCellMar>
          <w:top w:w="0" w:type="dxa"/>
          <w:start w:w="108" w:type="dxa"/>
          <w:bottom w:w="0" w:type="dxa"/>
          <w:end w:w="108" w:type="dxa"/>
        </w:tblCellMar>
      </w:tblPr>
      <w:tblGrid>
        <w:gridCol w:w="2718"/>
        <w:gridCol w:w="3294"/>
      </w:tblGrid>
      <w:tr>
        <w:trPr/>
        <w:tc>
          <w:tcPr>
            <w:tcW w:w="6012" w:type="dxa"/>
            <w:gridSpan w:val="2"/>
            <w:tcBorders/>
          </w:tcPr>
          <w:p>
            <w:pPr>
              <w:pStyle w:val="Normal"/>
              <w:snapToGrid w:val="false"/>
              <w:rPr/>
            </w:pPr>
            <w:r>
              <w:rPr/>
            </w:r>
          </w:p>
        </w:tc>
      </w:tr>
      <w:tr>
        <w:trPr/>
        <w:tc>
          <w:tcPr>
            <w:tcW w:w="2718" w:type="dxa"/>
            <w:tcBorders/>
          </w:tcPr>
          <w:p>
            <w:pPr>
              <w:pStyle w:val="Normal"/>
              <w:rPr>
                <w:b/>
                <w:u w:val="single"/>
              </w:rPr>
            </w:pPr>
            <w:r>
              <w:rPr>
                <w:b/>
                <w:u w:val="single"/>
              </w:rPr>
              <w:t>Name</w:t>
            </w:r>
          </w:p>
        </w:tc>
        <w:tc>
          <w:tcPr>
            <w:tcW w:w="3294" w:type="dxa"/>
            <w:tcBorders/>
          </w:tcPr>
          <w:p>
            <w:pPr>
              <w:pStyle w:val="Heading2"/>
              <w:ind w:hanging="0" w:start="0"/>
              <w:jc w:val="center"/>
              <w:rPr>
                <w:sz w:val="20"/>
              </w:rPr>
            </w:pPr>
            <w:r>
              <w:rPr>
                <w:sz w:val="20"/>
              </w:rPr>
              <w:t>Transaction Type</w:t>
            </w:r>
          </w:p>
        </w:tc>
      </w:tr>
      <w:tr>
        <w:trPr/>
        <w:tc>
          <w:tcPr>
            <w:tcW w:w="2718" w:type="dxa"/>
            <w:tcBorders/>
          </w:tcPr>
          <w:p>
            <w:pPr>
              <w:pStyle w:val="Normal"/>
              <w:snapToGrid w:val="false"/>
              <w:rPr>
                <w:b/>
                <w:sz w:val="20"/>
                <w:u w:val="single"/>
              </w:rPr>
            </w:pPr>
            <w:r>
              <w:rPr>
                <w:b/>
                <w:sz w:val="20"/>
                <w:u w:val="single"/>
              </w:rPr>
            </w:r>
          </w:p>
        </w:tc>
        <w:tc>
          <w:tcPr>
            <w:tcW w:w="3294" w:type="dxa"/>
            <w:tcBorders/>
          </w:tcPr>
          <w:p>
            <w:pPr>
              <w:pStyle w:val="Normal"/>
              <w:snapToGrid w:val="false"/>
              <w:rPr/>
            </w:pPr>
            <w:r>
              <w:rPr/>
            </w:r>
          </w:p>
        </w:tc>
      </w:tr>
      <w:tr>
        <w:trPr/>
        <w:tc>
          <w:tcPr>
            <w:tcW w:w="2718" w:type="dxa"/>
            <w:tcBorders/>
          </w:tcPr>
          <w:p>
            <w:pPr>
              <w:pStyle w:val="Normal"/>
              <w:rPr/>
            </w:pPr>
            <w:r>
              <w:rPr/>
              <w:t>Kristen Hanson</w:t>
            </w:r>
          </w:p>
        </w:tc>
        <w:tc>
          <w:tcPr>
            <w:tcW w:w="3294" w:type="dxa"/>
            <w:tcBorders/>
          </w:tcPr>
          <w:p>
            <w:pPr>
              <w:pStyle w:val="Normal"/>
              <w:tabs>
                <w:tab w:val="left" w:pos="720" w:leader="none"/>
              </w:tabs>
              <w:spacing w:lineRule="atLeast" w:line="240" w:before="60" w:after="0"/>
              <w:jc w:val="both"/>
              <w:rPr>
                <w:sz w:val="22"/>
              </w:rPr>
            </w:pPr>
            <w:r>
              <w:rPr/>
              <w:t>Forest Products and Steel Commodity Purchase and Sale transactions; Swap, option or other cash-settled derivative transactions</w:t>
            </w:r>
          </w:p>
        </w:tc>
      </w:tr>
      <w:tr>
        <w:trPr/>
        <w:tc>
          <w:tcPr>
            <w:tcW w:w="2718" w:type="dxa"/>
            <w:tcBorders>
              <w:bottom w:val="single" w:sz="4" w:space="0" w:color="000000"/>
            </w:tcBorders>
          </w:tcPr>
          <w:p>
            <w:pPr>
              <w:pStyle w:val="Normal"/>
              <w:rPr/>
            </w:pPr>
            <w:r>
              <w:rPr/>
              <w:t>Mike Moscoso</w:t>
            </w:r>
          </w:p>
        </w:tc>
        <w:tc>
          <w:tcPr>
            <w:tcW w:w="3294" w:type="dxa"/>
            <w:tcBorders>
              <w:bottom w:val="single" w:sz="4" w:space="0" w:color="000000"/>
            </w:tcBorders>
          </w:tcPr>
          <w:p>
            <w:pPr>
              <w:pStyle w:val="Normal"/>
              <w:tabs>
                <w:tab w:val="left" w:pos="720" w:leader="none"/>
              </w:tabs>
              <w:spacing w:lineRule="atLeast" w:line="240" w:before="60" w:after="0"/>
              <w:jc w:val="both"/>
              <w:rPr/>
            </w:pPr>
            <w:r>
              <w:rPr/>
              <w:t>Forest Products and Steel Commodity Purchase and Sale transactions; Swap, option or other cash-settled derivative transactions</w:t>
            </w:r>
          </w:p>
        </w:tc>
      </w:tr>
    </w:tbl>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b/>
        </w:rPr>
      </w:pPr>
      <w:r>
        <w:rPr>
          <w:b/>
        </w:rPr>
      </w:r>
    </w:p>
    <w:p>
      <w:pPr>
        <w:pStyle w:val="Normal"/>
        <w:rPr>
          <w:b/>
          <w:sz w:val="28"/>
        </w:rPr>
      </w:pPr>
      <w:r>
        <w:rPr>
          <w:b/>
          <w:sz w:val="28"/>
        </w:rPr>
        <w:t>Risk Management &amp; Trading Corp.</w:t>
      </w:r>
    </w:p>
    <w:p>
      <w:pPr>
        <w:pStyle w:val="Heading1"/>
        <w:ind w:hanging="0" w:start="0"/>
        <w:rPr/>
      </w:pPr>
      <w:r>
        <w:rPr/>
        <w:t>Recommendations for Signing Authority for Financial Trade Confirmation Letters:</w:t>
      </w:r>
    </w:p>
    <w:tbl>
      <w:tblPr>
        <w:tblW w:w="9738" w:type="dxa"/>
        <w:jc w:val="start"/>
        <w:tblInd w:w="0" w:type="dxa"/>
        <w:tblLayout w:type="fixed"/>
        <w:tblCellMar>
          <w:top w:w="0" w:type="dxa"/>
          <w:start w:w="108" w:type="dxa"/>
          <w:bottom w:w="0" w:type="dxa"/>
          <w:end w:w="108" w:type="dxa"/>
        </w:tblCellMar>
      </w:tblPr>
      <w:tblGrid>
        <w:gridCol w:w="1470"/>
        <w:gridCol w:w="2508"/>
        <w:gridCol w:w="1800"/>
        <w:gridCol w:w="1980"/>
        <w:gridCol w:w="1972"/>
        <w:gridCol w:w="8"/>
      </w:tblGrid>
      <w:tr>
        <w:trPr/>
        <w:tc>
          <w:tcPr>
            <w:tcW w:w="3978" w:type="dxa"/>
            <w:gridSpan w:val="2"/>
            <w:tcBorders/>
          </w:tcPr>
          <w:p>
            <w:pPr>
              <w:pStyle w:val="Normal"/>
              <w:snapToGrid w:val="false"/>
              <w:rPr/>
            </w:pPr>
            <w:r>
              <w:rPr/>
            </w:r>
          </w:p>
        </w:tc>
        <w:tc>
          <w:tcPr>
            <w:tcW w:w="3780" w:type="dxa"/>
            <w:gridSpan w:val="2"/>
            <w:tcBorders/>
          </w:tcPr>
          <w:p>
            <w:pPr>
              <w:pStyle w:val="Heading4"/>
              <w:ind w:hanging="0" w:start="0"/>
              <w:jc w:val="center"/>
              <w:rPr>
                <w:sz w:val="20"/>
              </w:rPr>
            </w:pPr>
            <w:r>
              <w:rPr>
                <w:sz w:val="20"/>
              </w:rPr>
              <w:t>Limitation</w:t>
            </w:r>
          </w:p>
        </w:tc>
        <w:tc>
          <w:tcPr>
            <w:tcW w:w="1972" w:type="dxa"/>
            <w:tcBorders>
              <w:bottom w:val="single" w:sz="4" w:space="0" w:color="000000"/>
            </w:tcBorders>
          </w:tcPr>
          <w:p>
            <w:pPr>
              <w:pStyle w:val="Heading4"/>
              <w:snapToGrid w:val="false"/>
              <w:ind w:hanging="0" w:start="0"/>
              <w:jc w:val="center"/>
              <w:rPr>
                <w:sz w:val="20"/>
              </w:rPr>
            </w:pPr>
            <w:r>
              <w:rPr>
                <w:sz w:val="20"/>
              </w:rPr>
            </w:r>
          </w:p>
        </w:tc>
      </w:tr>
      <w:tr>
        <w:trPr/>
        <w:tc>
          <w:tcPr>
            <w:tcW w:w="1470" w:type="dxa"/>
            <w:tcBorders/>
          </w:tcPr>
          <w:p>
            <w:pPr>
              <w:pStyle w:val="Normal"/>
              <w:rPr>
                <w:b/>
                <w:u w:val="single"/>
              </w:rPr>
            </w:pPr>
            <w:r>
              <w:rPr>
                <w:b/>
                <w:u w:val="single"/>
              </w:rPr>
              <w:t>Name</w:t>
            </w:r>
          </w:p>
        </w:tc>
        <w:tc>
          <w:tcPr>
            <w:tcW w:w="2508" w:type="dxa"/>
            <w:tcBorders/>
          </w:tcPr>
          <w:p>
            <w:pPr>
              <w:pStyle w:val="Heading2"/>
              <w:ind w:hanging="0" w:start="0"/>
              <w:jc w:val="center"/>
              <w:rPr>
                <w:sz w:val="20"/>
              </w:rPr>
            </w:pPr>
            <w:r>
              <w:rPr>
                <w:sz w:val="20"/>
              </w:rPr>
              <w:t>Transaction Type</w:t>
            </w:r>
          </w:p>
        </w:tc>
        <w:tc>
          <w:tcPr>
            <w:tcW w:w="1800" w:type="dxa"/>
            <w:tcBorders/>
          </w:tcPr>
          <w:p>
            <w:pPr>
              <w:pStyle w:val="Heading3"/>
              <w:ind w:hanging="0" w:start="0"/>
              <w:rPr>
                <w:sz w:val="20"/>
              </w:rPr>
            </w:pPr>
            <w:r>
              <w:rPr>
                <w:sz w:val="20"/>
              </w:rPr>
              <w:t>Previous Authority Limits</w:t>
            </w:r>
          </w:p>
        </w:tc>
        <w:tc>
          <w:tcPr>
            <w:tcW w:w="1980" w:type="dxa"/>
            <w:tcBorders/>
          </w:tcPr>
          <w:p>
            <w:pPr>
              <w:pStyle w:val="Heading3"/>
              <w:ind w:hanging="0" w:start="0"/>
              <w:rPr>
                <w:sz w:val="20"/>
              </w:rPr>
            </w:pPr>
            <w:r>
              <w:rPr>
                <w:sz w:val="20"/>
              </w:rPr>
              <w:t>Recommended Authority Limits</w:t>
            </w:r>
          </w:p>
        </w:tc>
        <w:tc>
          <w:tcPr>
            <w:tcW w:w="1980" w:type="dxa"/>
            <w:tcBorders/>
          </w:tcPr>
          <w:p>
            <w:pPr>
              <w:pStyle w:val="Heading3"/>
              <w:ind w:hanging="0" w:start="0"/>
              <w:rPr>
                <w:sz w:val="20"/>
              </w:rPr>
            </w:pPr>
            <w:r>
              <w:rPr>
                <w:sz w:val="20"/>
              </w:rPr>
              <w:t>Effective Date</w:t>
            </w:r>
          </w:p>
        </w:tc>
      </w:tr>
      <w:tr>
        <w:trPr/>
        <w:tc>
          <w:tcPr>
            <w:tcW w:w="1470" w:type="dxa"/>
            <w:tcBorders>
              <w:bottom w:val="single" w:sz="4" w:space="0" w:color="000000"/>
            </w:tcBorders>
          </w:tcPr>
          <w:p>
            <w:pPr>
              <w:pStyle w:val="Normal"/>
              <w:rPr/>
            </w:pPr>
            <w:r>
              <w:rPr/>
              <w:t>Bianca Ornelas</w:t>
            </w:r>
          </w:p>
        </w:tc>
        <w:tc>
          <w:tcPr>
            <w:tcW w:w="2508" w:type="dxa"/>
            <w:tcBorders>
              <w:bottom w:val="single" w:sz="4" w:space="0" w:color="000000"/>
            </w:tcBorders>
          </w:tcPr>
          <w:p>
            <w:pPr>
              <w:pStyle w:val="Normal"/>
              <w:rPr/>
            </w:pPr>
            <w:r>
              <w:rPr/>
              <w:t>Swap, Option, or other Cash-Settled Derivative Transactions</w:t>
            </w:r>
          </w:p>
        </w:tc>
        <w:tc>
          <w:tcPr>
            <w:tcW w:w="1800" w:type="dxa"/>
            <w:tcBorders>
              <w:bottom w:val="single" w:sz="4" w:space="0" w:color="000000"/>
            </w:tcBorders>
          </w:tcPr>
          <w:p>
            <w:pPr>
              <w:pStyle w:val="Normal"/>
              <w:jc w:val="center"/>
              <w:rPr/>
            </w:pPr>
            <w:r>
              <w:rPr/>
              <w:t>Not authorized</w:t>
            </w:r>
          </w:p>
        </w:tc>
        <w:tc>
          <w:tcPr>
            <w:tcW w:w="1980" w:type="dxa"/>
            <w:tcBorders>
              <w:bottom w:val="single" w:sz="4" w:space="0" w:color="000000"/>
            </w:tcBorders>
          </w:tcPr>
          <w:p>
            <w:pPr>
              <w:pStyle w:val="Normal"/>
              <w:jc w:val="center"/>
              <w:rPr/>
            </w:pPr>
            <w:r>
              <w:rPr/>
              <w:t>None</w:t>
            </w:r>
          </w:p>
        </w:tc>
        <w:tc>
          <w:tcPr>
            <w:tcW w:w="1980" w:type="dxa"/>
            <w:tcBorders>
              <w:bottom w:val="single" w:sz="4" w:space="0" w:color="000000"/>
            </w:tcBorders>
          </w:tcPr>
          <w:p>
            <w:pPr>
              <w:pStyle w:val="Normal"/>
              <w:jc w:val="center"/>
              <w:rPr/>
            </w:pPr>
            <w:r>
              <w:rPr/>
              <w:t>May 1, 2001</w:t>
            </w:r>
          </w:p>
        </w:tc>
      </w:tr>
    </w:tbl>
    <w:p>
      <w:pPr>
        <w:pStyle w:val="Normal"/>
        <w:rPr/>
      </w:pPr>
      <w:r>
        <w:rPr/>
      </w:r>
    </w:p>
    <w:p>
      <w:pPr>
        <w:pStyle w:val="Normal"/>
        <w:rPr/>
      </w:pPr>
      <w:r>
        <w:rPr/>
      </w:r>
    </w:p>
    <w:p>
      <w:pPr>
        <w:pStyle w:val="Normal"/>
        <w:rPr/>
      </w:pPr>
      <w:r>
        <w:rPr/>
        <w:t>Recommendations for Removal of Signing Authority for Trade Confirmation Letters:</w:t>
      </w:r>
    </w:p>
    <w:tbl>
      <w:tblPr>
        <w:tblW w:w="6012" w:type="dxa"/>
        <w:jc w:val="start"/>
        <w:tblInd w:w="0" w:type="dxa"/>
        <w:tblLayout w:type="fixed"/>
        <w:tblCellMar>
          <w:top w:w="0" w:type="dxa"/>
          <w:start w:w="108" w:type="dxa"/>
          <w:bottom w:w="0" w:type="dxa"/>
          <w:end w:w="108" w:type="dxa"/>
        </w:tblCellMar>
      </w:tblPr>
      <w:tblGrid>
        <w:gridCol w:w="2718"/>
        <w:gridCol w:w="3294"/>
      </w:tblGrid>
      <w:tr>
        <w:trPr/>
        <w:tc>
          <w:tcPr>
            <w:tcW w:w="6012" w:type="dxa"/>
            <w:gridSpan w:val="2"/>
            <w:tcBorders/>
          </w:tcPr>
          <w:p>
            <w:pPr>
              <w:pStyle w:val="Normal"/>
              <w:snapToGrid w:val="false"/>
              <w:rPr/>
            </w:pPr>
            <w:r>
              <w:rPr/>
            </w:r>
          </w:p>
        </w:tc>
      </w:tr>
      <w:tr>
        <w:trPr/>
        <w:tc>
          <w:tcPr>
            <w:tcW w:w="2718" w:type="dxa"/>
            <w:tcBorders/>
          </w:tcPr>
          <w:p>
            <w:pPr>
              <w:pStyle w:val="Normal"/>
              <w:rPr>
                <w:b/>
                <w:u w:val="single"/>
              </w:rPr>
            </w:pPr>
            <w:r>
              <w:rPr>
                <w:b/>
                <w:u w:val="single"/>
              </w:rPr>
              <w:t>Name</w:t>
            </w:r>
          </w:p>
        </w:tc>
        <w:tc>
          <w:tcPr>
            <w:tcW w:w="3294" w:type="dxa"/>
            <w:tcBorders/>
          </w:tcPr>
          <w:p>
            <w:pPr>
              <w:pStyle w:val="Heading2"/>
              <w:ind w:hanging="0" w:start="0"/>
              <w:jc w:val="center"/>
              <w:rPr>
                <w:sz w:val="20"/>
              </w:rPr>
            </w:pPr>
            <w:r>
              <w:rPr>
                <w:sz w:val="20"/>
              </w:rPr>
              <w:t>Transaction Type</w:t>
            </w:r>
          </w:p>
        </w:tc>
      </w:tr>
      <w:tr>
        <w:trPr/>
        <w:tc>
          <w:tcPr>
            <w:tcW w:w="2718" w:type="dxa"/>
            <w:tcBorders/>
          </w:tcPr>
          <w:p>
            <w:pPr>
              <w:pStyle w:val="Normal"/>
              <w:snapToGrid w:val="false"/>
              <w:rPr>
                <w:b/>
                <w:sz w:val="20"/>
                <w:u w:val="single"/>
              </w:rPr>
            </w:pPr>
            <w:r>
              <w:rPr>
                <w:b/>
                <w:sz w:val="20"/>
                <w:u w:val="single"/>
              </w:rPr>
            </w:r>
          </w:p>
        </w:tc>
        <w:tc>
          <w:tcPr>
            <w:tcW w:w="3294" w:type="dxa"/>
            <w:tcBorders/>
          </w:tcPr>
          <w:p>
            <w:pPr>
              <w:pStyle w:val="Normal"/>
              <w:snapToGrid w:val="false"/>
              <w:rPr/>
            </w:pPr>
            <w:r>
              <w:rPr/>
            </w:r>
          </w:p>
        </w:tc>
      </w:tr>
      <w:tr>
        <w:trPr/>
        <w:tc>
          <w:tcPr>
            <w:tcW w:w="2718" w:type="dxa"/>
            <w:tcBorders/>
          </w:tcPr>
          <w:p>
            <w:pPr>
              <w:pStyle w:val="Normal"/>
              <w:rPr/>
            </w:pPr>
            <w:r>
              <w:rPr/>
              <w:t>Kristen Hanson</w:t>
            </w:r>
          </w:p>
        </w:tc>
        <w:tc>
          <w:tcPr>
            <w:tcW w:w="3294" w:type="dxa"/>
            <w:tcBorders/>
          </w:tcPr>
          <w:p>
            <w:pPr>
              <w:pStyle w:val="Normal"/>
              <w:tabs>
                <w:tab w:val="left" w:pos="720" w:leader="none"/>
              </w:tabs>
              <w:spacing w:lineRule="atLeast" w:line="240" w:before="60" w:after="0"/>
              <w:jc w:val="both"/>
              <w:rPr>
                <w:sz w:val="22"/>
              </w:rPr>
            </w:pPr>
            <w:r>
              <w:rPr/>
              <w:t>Forest Products and Steel Commodity Purchase and Sale transactions; Swap, option or other cash-settled derivative transactions</w:t>
            </w:r>
          </w:p>
        </w:tc>
      </w:tr>
      <w:tr>
        <w:trPr/>
        <w:tc>
          <w:tcPr>
            <w:tcW w:w="2718" w:type="dxa"/>
            <w:tcBorders>
              <w:bottom w:val="single" w:sz="4" w:space="0" w:color="000000"/>
            </w:tcBorders>
          </w:tcPr>
          <w:p>
            <w:pPr>
              <w:pStyle w:val="Normal"/>
              <w:rPr/>
            </w:pPr>
            <w:r>
              <w:rPr/>
              <w:t>Mike Moscoso</w:t>
            </w:r>
          </w:p>
        </w:tc>
        <w:tc>
          <w:tcPr>
            <w:tcW w:w="3294" w:type="dxa"/>
            <w:tcBorders>
              <w:bottom w:val="single" w:sz="4" w:space="0" w:color="000000"/>
            </w:tcBorders>
          </w:tcPr>
          <w:p>
            <w:pPr>
              <w:pStyle w:val="Normal"/>
              <w:tabs>
                <w:tab w:val="left" w:pos="720" w:leader="none"/>
              </w:tabs>
              <w:spacing w:lineRule="atLeast" w:line="240" w:before="60" w:after="0"/>
              <w:jc w:val="both"/>
              <w:rPr/>
            </w:pPr>
            <w:r>
              <w:rPr/>
              <w:t>Forest Products and Steel Commodity Purchase and Sale transactions; Swap, option or other cash-settled derivative transactions</w:t>
            </w:r>
          </w:p>
        </w:tc>
      </w:tr>
    </w:tbl>
    <w:p>
      <w:pPr>
        <w:pStyle w:val="Normal"/>
        <w:rPr/>
      </w:pPr>
      <w:r>
        <w:rPr/>
      </w:r>
    </w:p>
    <w:p>
      <w:pPr>
        <w:pStyle w:val="Normal"/>
        <w:rPr/>
      </w:pPr>
      <w:r>
        <w:rPr/>
      </w:r>
    </w:p>
    <w:p>
      <w:pPr>
        <w:pStyle w:val="Normal"/>
        <w:rPr/>
      </w:pPr>
      <w:r>
        <w:rPr/>
      </w:r>
    </w:p>
    <w:p>
      <w:pPr>
        <w:pStyle w:val="Normal"/>
        <w:rPr/>
      </w:pPr>
      <w:r>
        <w:rPr/>
      </w:r>
    </w:p>
    <w:p>
      <w:pPr>
        <w:pStyle w:val="Normal"/>
        <w:rPr/>
      </w:pPr>
      <w:r>
        <w:rPr/>
        <w:tab/>
        <w:tab/>
      </w:r>
    </w:p>
    <w:sectPr>
      <w:type w:val="nextPage"/>
      <w:pgSz w:w="12240" w:h="15840"/>
      <w:pgMar w:left="1350" w:right="81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2001-08-08T14:51:00Z</dcterms:created>
  <dc:creator>robert j. bowen</dc:creator>
  <dc:description/>
  <dc:language>en-CA</dc:language>
  <cp:lastModifiedBy>ktherio</cp:lastModifiedBy>
  <cp:lastPrinted>2001-08-01T14:23:00Z</cp:lastPrinted>
  <dcterms:modified xsi:type="dcterms:W3CDTF">2001-08-08T14:51:00Z</dcterms:modified>
  <cp:revision>2</cp:revision>
  <dc:subject/>
  <dc:title>Enron North America Corp</dc:title>
</cp:coreProperties>
</file>