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SIERRA PACIFIC ANCILLARY CHARGES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For Verification: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 xml:space="preserve">Go to their website: </w:t>
        <w:tab/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www.sierrapacificresources.com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 xml:space="preserve">Under Related Links click on:  </w:t>
        <w:tab/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>OASIS (Open Access Same-time Information System)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 xml:space="preserve">Under OASIS Site Content Navigation click on:  </w:t>
        <w:tab/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>Open Access transmission Tariff (OATT)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BodyText"/>
        <w:rPr/>
      </w:pPr>
      <w:r>
        <w:rPr/>
        <w:t>Then this is their tariff.  On the table of Contents (page 2) you are looking for Ancillary Services on page 11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 xml:space="preserve">For the 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>loss energy charge</w:t>
      </w:r>
      <w:r>
        <w:rPr>
          <w:rFonts w:cs="Helv;Arial" w:ascii="Helv;Arial" w:hAnsi="Helv;Arial"/>
          <w:color w:val="000000"/>
          <w:sz w:val="20"/>
          <w:szCs w:val="20"/>
        </w:rPr>
        <w:t xml:space="preserve"> of $1,271.68 =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pg 171.  Loss factor of 2.34% for Zone A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>.0234 x 734 (# of mw’s moved) = 17.1756 mws</w:t>
      </w:r>
    </w:p>
    <w:p>
      <w:pPr>
        <w:pStyle w:val="Normal"/>
        <w:autoSpaceDE w:val="false"/>
        <w:spacing w:lineRule="atLeast" w:line="240"/>
        <w:ind w:start="72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$74.04 (average energy cost for the month, as determined by the transmission provider) x 17.1756 mws = $1271.68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 xml:space="preserve">For the 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>loss capacity charge</w:t>
      </w:r>
      <w:r>
        <w:rPr>
          <w:rFonts w:cs="Helv;Arial" w:ascii="Helv;Arial" w:hAnsi="Helv;Arial"/>
          <w:color w:val="000000"/>
          <w:sz w:val="20"/>
          <w:szCs w:val="20"/>
        </w:rPr>
        <w:t xml:space="preserve"> of $46.34 =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pg 173  Capacity is $6.67/kw</w:t>
      </w:r>
    </w:p>
    <w:p>
      <w:pPr>
        <w:pStyle w:val="Normal"/>
        <w:autoSpaceDE w:val="false"/>
        <w:spacing w:lineRule="atLeast" w:line="240"/>
        <w:ind w:start="72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then take $6670/mw and divide by 720 hours in a month to convert to hourly of $9.1692 - charge for capacity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ab/>
        <w:t xml:space="preserve">then take the capacity mw’s (mw’s that were reserved) = 216mws (see below), 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</w:r>
      <w:r>
        <w:rPr>
          <w:rFonts w:cs="Arial" w:ascii="Helv;Arial" w:hAnsi="Helv;Arial"/>
          <w:color w:val="000000"/>
          <w:sz w:val="20"/>
          <w:szCs w:val="20"/>
        </w:rPr>
        <w:t>So 216mws x .0234 (loss factor from p. 171) x $9.1692 (capacity charge above) = $46.34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inline distT="0" distB="0" distL="0" distR="0">
            <wp:extent cx="2647950" cy="32486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" t="-10" r="-1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24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00"/>
          <w:sz w:val="20"/>
          <w:szCs w:val="20"/>
        </w:rPr>
      </w:pPr>
      <w:r>
        <w:rPr>
          <w:rFonts w:cs="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00"/>
          <w:sz w:val="20"/>
          <w:szCs w:val="20"/>
        </w:rPr>
      </w:pPr>
      <w:r>
        <w:rPr>
          <w:rFonts w:cs="Arial" w:ascii="Helv;Arial" w:hAnsi="Helv;Arial"/>
          <w:color w:val="000000"/>
          <w:sz w:val="20"/>
          <w:szCs w:val="20"/>
        </w:rPr>
        <w:tab/>
      </w:r>
    </w:p>
    <w:p>
      <w:pPr>
        <w:pStyle w:val="Normal"/>
        <w:autoSpaceDE w:val="false"/>
        <w:spacing w:lineRule="atLeast" w:line="240"/>
        <w:rPr/>
      </w:pPr>
      <w:r>
        <w:rPr>
          <w:rFonts w:cs="Arial" w:ascii="Helv;Arial" w:hAnsi="Helv;Arial"/>
          <w:color w:val="000000"/>
          <w:sz w:val="20"/>
          <w:szCs w:val="20"/>
        </w:rPr>
        <w:t xml:space="preserve">For the </w:t>
      </w:r>
      <w:r>
        <w:rPr>
          <w:rFonts w:cs="Arial" w:ascii="Helv;Arial" w:hAnsi="Helv;Arial"/>
          <w:b/>
          <w:bCs/>
          <w:color w:val="000000"/>
          <w:sz w:val="20"/>
          <w:szCs w:val="20"/>
        </w:rPr>
        <w:t>scheduling fee</w:t>
      </w:r>
      <w:r>
        <w:rPr>
          <w:rFonts w:cs="Arial" w:ascii="Helv;Arial" w:hAnsi="Helv;Arial"/>
          <w:color w:val="000000"/>
          <w:sz w:val="20"/>
          <w:szCs w:val="20"/>
        </w:rPr>
        <w:t xml:space="preserve"> of $181.10</w:t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00"/>
          <w:sz w:val="20"/>
          <w:szCs w:val="20"/>
        </w:rPr>
      </w:pPr>
      <w:r>
        <w:rPr>
          <w:rFonts w:cs="Arial" w:ascii="Helv;Arial" w:hAnsi="Helv;Arial"/>
          <w:color w:val="000000"/>
          <w:sz w:val="20"/>
          <w:szCs w:val="20"/>
        </w:rPr>
        <w:t>pg 152 for Zone A = $.120/kw</w:t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00"/>
          <w:sz w:val="20"/>
          <w:szCs w:val="20"/>
        </w:rPr>
      </w:pPr>
      <w:r>
        <w:rPr>
          <w:rFonts w:cs="Arial" w:ascii="Helv;Arial" w:hAnsi="Helv;Arial"/>
          <w:color w:val="000000"/>
          <w:sz w:val="20"/>
          <w:szCs w:val="20"/>
        </w:rPr>
        <w:tab/>
        <w:t>Take the fee and convert it to an hourly price of $.1649/hr</w:t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00"/>
          <w:sz w:val="20"/>
          <w:szCs w:val="20"/>
        </w:rPr>
      </w:pPr>
      <w:r>
        <w:rPr>
          <w:rFonts w:cs="Arial" w:ascii="Helv;Arial" w:hAnsi="Helv;Arial"/>
          <w:color w:val="000000"/>
          <w:sz w:val="20"/>
          <w:szCs w:val="20"/>
        </w:rPr>
        <w:tab/>
        <w:t>So the 1098 total mw’s x $.1649 = $181.10</w:t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00"/>
          <w:sz w:val="20"/>
          <w:szCs w:val="20"/>
        </w:rPr>
      </w:pPr>
      <w:r>
        <w:rPr>
          <w:rFonts w:cs="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Arial"/>
          <w:color w:val="000000"/>
          <w:sz w:val="20"/>
          <w:szCs w:val="20"/>
        </w:rPr>
      </w:pPr>
      <w:r>
        <w:rPr>
          <w:rFonts w:cs="Arial" w:ascii="Helv;Arial" w:hAnsi="Helv;Arial"/>
          <w:color w:val="000000"/>
          <w:sz w:val="20"/>
          <w:szCs w:val="20"/>
        </w:rPr>
      </w:r>
    </w:p>
    <w:p>
      <w:pPr>
        <w:pStyle w:val="Normal"/>
        <w:rPr/>
      </w:pPr>
      <w:r>
        <w:rPr/>
        <w:t>Detailed information from Sierra Pacific’s website follows this page.  Please contact Virginia with any questions.</w:t>
      </w:r>
    </w:p>
    <w:sectPr>
      <w:type w:val="nextPage"/>
      <w:pgSz w:w="12240" w:h="15840"/>
      <w:pgMar w:left="1260" w:right="126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Helv;Arial" w:hAnsi="Helv;Arial" w:cs="Helv;Arial"/>
      <w:b/>
      <w:bCs/>
      <w:color w:val="000000"/>
      <w:sz w:val="32"/>
      <w:szCs w:val="20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Helv;Arial" w:hAnsi="Helv;Arial" w:cs="Helv;Arial"/>
      <w:color w:val="000000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2001-05-11T19:30:00Z</dcterms:created>
  <dc:creator>vthompso</dc:creator>
  <dc:description/>
  <dc:language>en-CA</dc:language>
  <cp:lastModifiedBy>vthompso</cp:lastModifiedBy>
  <cp:lastPrinted>2001-05-11T15:12:00Z</cp:lastPrinted>
  <dcterms:modified xsi:type="dcterms:W3CDTF">2001-05-11T19:43:00Z</dcterms:modified>
  <cp:revision>3</cp:revision>
  <dc:subject/>
  <dc:title>SIERRA PACIFIC ANCILLARY CHARGES</dc:title>
</cp:coreProperties>
</file>