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embeddings/oleObject1.xlsx" ContentType="application/vnd.openxmlformats-officedocument.spreadsheetml.sheet"/>
  <Override PartName="/word/embeddings/oleObject2.xlsx" ContentType="application/vnd.openxmlformats-officedocument.spreadsheetml.sheet"/>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noteText"/>
        <w:rPr/>
      </w:pPr>
      <w:r>
        <w:rPr>
          <w:rStyle w:val="FootnoteReference"/>
          <w:rFonts w:eastAsia="Symbol" w:cs="Symbol" w:ascii="Symbol" w:hAnsi="Symbol"/>
        </w:rPr>
        <w:footnoteReference w:customMarkFollows="1" w:id="2"/>
        <w:t></w:t>
      </w:r>
      <w:r>
        <w:rPr/>
        <w:t xml:space="preserve"> </w:t>
      </w:r>
    </w:p>
    <w:p>
      <w:pPr>
        <w:pStyle w:val="Abstract"/>
        <w:jc w:val="both"/>
        <w:rPr/>
      </w:pPr>
      <w:r>
        <w:rPr>
          <w:i/>
        </w:rPr>
        <w:t>Abstract</w:t>
      </w:r>
      <w:r>
        <w:rPr/>
        <w:t>—A substantial case study using the generalized competitive electric power system model (GCEPSM) [1] was undertaken on behalf of the State of Texas.  Calculations of the potential gains-from-trade of a large-scale synchronous interconnection between the Electric Reliability Council of Texas (ERCOT) and the Southwest Power Pool (SPP) were made under various scenarios.  Results indicate that while significant gains may have been possible, the overall benefit diminishes significantly over time.</w:t>
      </w:r>
    </w:p>
    <w:p>
      <w:pPr>
        <w:pStyle w:val="Normal"/>
        <w:rPr/>
      </w:pPr>
      <w:r>
        <w:rPr/>
      </w:r>
    </w:p>
    <w:p>
      <w:pPr>
        <w:pStyle w:val="IndexTerms"/>
        <w:rPr/>
      </w:pPr>
      <w:bookmarkStart w:id="0" w:name="PointTmp"/>
      <w:bookmarkEnd w:id="0"/>
      <w:r>
        <w:rPr>
          <w:i/>
        </w:rPr>
        <w:t>Index terms</w:t>
      </w:r>
      <w:r>
        <w:rPr/>
        <w:t>—restructuring, simulation, power systems</w:t>
      </w:r>
    </w:p>
    <w:p>
      <w:pPr>
        <w:pStyle w:val="Normal"/>
        <w:rPr/>
      </w:pPr>
      <w:r>
        <w:rPr/>
      </w:r>
    </w:p>
    <w:p>
      <w:pPr>
        <w:pStyle w:val="Heading1"/>
        <w:numPr>
          <w:ilvl w:val="0"/>
          <w:numId w:val="2"/>
        </w:numPr>
        <w:ind w:hanging="0" w:start="0"/>
        <w:rPr/>
      </w:pPr>
      <w:bookmarkStart w:id="1" w:name="PointTmp"/>
      <w:bookmarkEnd w:id="1"/>
      <w:r>
        <w:rPr/>
        <w:t>Introduction</w:t>
      </w:r>
    </w:p>
    <w:p>
      <w:pPr>
        <w:pStyle w:val="Normal"/>
        <w:rPr/>
      </w:pPr>
      <w:r>
        <w:rPr/>
      </w:r>
    </w:p>
    <w:p>
      <w:pPr>
        <w:pStyle w:val="Normal"/>
        <w:jc w:val="both"/>
        <w:rPr/>
      </w:pPr>
      <w:r>
        <w:rPr/>
        <w:t>As the only significant North American synchronous electrical system contained within a single state, the Electric Reliability Council of Texas (ERCOT) is something of an anomaly.  The intrastate nature of ERCOT, originally intended in part to avoid federal jurisdiction, denies ERCOT ready access to the surrounding electricity markets, since only two relatively low capacity DC interconnections exist between ERCOT and the Eastern Interconnection.</w:t>
      </w:r>
    </w:p>
    <w:p>
      <w:pPr>
        <w:pStyle w:val="Normal"/>
        <w:jc w:val="both"/>
        <w:rPr/>
      </w:pPr>
      <w:r>
        <w:rPr/>
      </w:r>
    </w:p>
    <w:p>
      <w:pPr>
        <w:pStyle w:val="Normal"/>
        <w:jc w:val="both"/>
        <w:rPr/>
      </w:pPr>
      <w:r>
        <w:rPr/>
        <w:t>With increasing pressure for competitive electricity markets, the desire to keep ERCOT an intrastate entity is facing opposition.  In response, the Texas Legislature created the Synchronous Interconnection Committee (SIC) to investigate the myriad issues related to expanding its connection to surrounding systems, particularly the Southwest Power Pool (SPP).  Among these issues was the estimation of potential gains-from-trade offered by the expanded interconnection.</w:t>
      </w:r>
    </w:p>
    <w:p>
      <w:pPr>
        <w:pStyle w:val="Normal"/>
        <w:jc w:val="both"/>
        <w:rPr/>
      </w:pPr>
      <w:r>
        <w:rPr/>
      </w:r>
    </w:p>
    <w:p>
      <w:pPr>
        <w:pStyle w:val="BodyText"/>
        <w:rPr/>
      </w:pPr>
      <w:r>
        <w:rPr/>
        <w:t>This paper describes the gains-from-trade study starting in Section II with a description of the instance of the generalized competitive electric power system model (GCEPSM) used and the input data.  Section III covers the overall methodology, and the final sections present results and conclusions.  The Report to the 76</w:t>
      </w:r>
      <w:r>
        <w:rPr>
          <w:vertAlign w:val="superscript"/>
        </w:rPr>
        <w:t>th</w:t>
      </w:r>
      <w:r>
        <w:rPr/>
        <w:t xml:space="preserve"> Texas Legislature of the Synchronous Interconnection Committee contains the background and the results of the entire SIC effort, including this analysis to which the model was applied [2].</w:t>
      </w:r>
    </w:p>
    <w:p>
      <w:pPr>
        <w:pStyle w:val="BodyText"/>
        <w:rPr/>
      </w:pPr>
      <w:r>
        <w:rPr/>
      </w:r>
    </w:p>
    <w:p>
      <w:pPr>
        <w:pStyle w:val="Heading1"/>
        <w:numPr>
          <w:ilvl w:val="0"/>
          <w:numId w:val="2"/>
        </w:numPr>
        <w:ind w:hanging="0" w:start="0"/>
        <w:rPr/>
      </w:pPr>
      <w:r>
        <w:rPr/>
        <w:t>Model Description</w:t>
      </w:r>
    </w:p>
    <w:p>
      <w:pPr>
        <w:pStyle w:val="Normal"/>
        <w:rPr/>
      </w:pPr>
      <w:r>
        <w:rPr/>
      </w:r>
    </w:p>
    <w:p>
      <w:pPr>
        <w:pStyle w:val="BodyText"/>
        <w:rPr/>
      </w:pPr>
      <w:r>
        <w:rPr/>
        <w:t>The GCEPSM, developed at The University of Texas at Austin, forms the basis for the study.  For brevity, only the salient points related to the SIC study are presented, and the reader is directed to [1] for a detailed description of the GCEPSM.</w:t>
      </w:r>
    </w:p>
    <w:p>
      <w:pPr>
        <w:pStyle w:val="BodyText"/>
        <w:rPr/>
      </w:pPr>
      <w:r>
        <w:rPr/>
      </w:r>
    </w:p>
    <w:p>
      <w:pPr>
        <w:pStyle w:val="BodyText"/>
        <w:rPr/>
      </w:pPr>
      <w:r>
        <w:rPr/>
        <w:t>Because the goal of the study was to estimate the total potential gains-from-trade, the view was taken that the potential gains-from-trade would be defined to be the system-wide reduction in total cost for supplying demand when comparing:</w:t>
      </w:r>
    </w:p>
    <w:p>
      <w:pPr>
        <w:pStyle w:val="BodyText"/>
        <w:rPr/>
      </w:pPr>
      <w:r>
        <w:rPr/>
      </w:r>
    </w:p>
    <w:p>
      <w:pPr>
        <w:pStyle w:val="BodyText"/>
        <w:numPr>
          <w:ilvl w:val="0"/>
          <w:numId w:val="3"/>
        </w:numPr>
        <w:ind w:hanging="0" w:start="360" w:end="0"/>
        <w:rPr/>
      </w:pPr>
      <w:r>
        <w:rPr/>
        <w:t>the system with the existing DC interconnection</w:t>
      </w:r>
    </w:p>
    <w:p>
      <w:pPr>
        <w:pStyle w:val="BodyText"/>
        <w:numPr>
          <w:ilvl w:val="0"/>
          <w:numId w:val="3"/>
        </w:numPr>
        <w:ind w:hanging="0" w:start="360" w:end="0"/>
        <w:rPr/>
      </w:pPr>
      <w:r>
        <w:rPr/>
        <w:t>the system with the proposed AC interconnection.</w:t>
      </w:r>
    </w:p>
    <w:p>
      <w:pPr>
        <w:pStyle w:val="BodyText"/>
        <w:rPr/>
      </w:pPr>
      <w:r>
        <w:rPr/>
      </w:r>
    </w:p>
    <w:p>
      <w:pPr>
        <w:pStyle w:val="BodyText"/>
        <w:rPr/>
      </w:pPr>
      <w:r>
        <w:rPr/>
        <w:t>Thus, the model is cost-based and does not formally set prices throughout the system.  This is important to note, since, in some respects, prices serve to distribute gains between trading parties, but do not affect the total potential gains unless prices are chosen in a manner to distort trade.</w:t>
      </w:r>
    </w:p>
    <w:p>
      <w:pPr>
        <w:pStyle w:val="BodyText"/>
        <w:rPr/>
      </w:pPr>
      <w:r>
        <w:rPr/>
      </w:r>
    </w:p>
    <w:p>
      <w:pPr>
        <w:pStyle w:val="BodyText"/>
        <w:rPr/>
      </w:pPr>
      <w:r>
        <w:rPr/>
        <w:t>Substantial information was required to specify the instance of the model used for the SIC study.  This information can be categorized into three main areas: structure, supply and demand, and system parameters.  These areas are presented in the following subsections.</w:t>
      </w:r>
    </w:p>
    <w:p>
      <w:pPr>
        <w:pStyle w:val="Heading2"/>
        <w:numPr>
          <w:ilvl w:val="1"/>
          <w:numId w:val="2"/>
        </w:numPr>
        <w:rPr/>
      </w:pPr>
      <w:r>
        <w:rPr/>
        <w:t>Structure</w:t>
      </w:r>
    </w:p>
    <w:p>
      <w:pPr>
        <w:pStyle w:val="Normal"/>
        <w:rPr/>
      </w:pPr>
      <w:r>
        <w:rPr/>
      </w:r>
    </w:p>
    <w:p>
      <w:pPr>
        <w:pStyle w:val="BodyText"/>
        <w:rPr/>
      </w:pPr>
      <w:r>
        <w:rPr/>
        <w:t>The electrical system of the SIC model is subdivided into two regions comprising 27 market areas.  The two regions are the two sides of the interconnection, thus they are named ERCOT and SPP.  The ERCOT region contains 11 areas.  The SPP region contains areas for the 10 largest market areas in SPP as well as two areas that represent geographic aggregations within SPP, and four outlying areas that neighbor SPP.  The outlying areas correspond to the reliability areas SERC, ECAR, MAIN, and MAPP.  These outlying areas are actual electrical systems on the scale of SPP and can be considered regions in their own right.  However, for the SIC model, the outlying areas are not treated as separate regions.  Figure 1 shows the general locations of the areas.</w:t>
      </w:r>
    </w:p>
    <w:p>
      <w:pPr>
        <w:pStyle w:val="BodyText"/>
        <w:rPr/>
      </w:pPr>
      <w:r>
        <w:rPr/>
      </w:r>
    </w:p>
    <w:p>
      <w:pPr>
        <w:pStyle w:val="BodyText"/>
        <w:rPr/>
      </w:pPr>
      <w:r>
        <w:rPr/>
        <w:drawing>
          <wp:inline distT="0" distB="0" distL="0" distR="0">
            <wp:extent cx="2971800" cy="25647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14" r="-12" b="-14"/>
                    <a:stretch>
                      <a:fillRect/>
                    </a:stretch>
                  </pic:blipFill>
                  <pic:spPr bwMode="auto">
                    <a:xfrm>
                      <a:off x="0" y="0"/>
                      <a:ext cx="2971800" cy="2564765"/>
                    </a:xfrm>
                    <a:prstGeom prst="rect">
                      <a:avLst/>
                    </a:prstGeom>
                    <a:noFill/>
                  </pic:spPr>
                </pic:pic>
              </a:graphicData>
            </a:graphic>
          </wp:inline>
        </w:drawing>
      </w:r>
    </w:p>
    <w:p>
      <w:pPr>
        <w:pStyle w:val="BodyText"/>
        <w:rPr/>
      </w:pPr>
      <w:r>
        <w:rPr/>
      </w:r>
    </w:p>
    <w:p>
      <w:pPr>
        <w:pStyle w:val="BodyText"/>
        <w:rPr/>
      </w:pPr>
      <w:r>
        <w:rPr/>
        <w:t>Figure 1. Approximate locations of most areas used in the study.  The two areas not shown are geographic aggregations for areas within northern and central SPP.</w:t>
      </w:r>
    </w:p>
    <w:p>
      <w:pPr>
        <w:pStyle w:val="BodyText"/>
        <w:rPr/>
      </w:pPr>
      <w:r>
        <w:rPr/>
      </w:r>
    </w:p>
    <w:p>
      <w:pPr>
        <w:pStyle w:val="BodyText"/>
        <w:rPr/>
      </w:pPr>
      <w:r>
        <w:rPr/>
        <w:t>There are 36 time periods used to represent each study year.  These periods correspond to high, middle, and low load periods for each of the 12 months.  Periods are of equal duration, therefore each period lasts for approximately 10 days.  This means that month by month chronological information was preserved, but intra-month chronology was suppressed in the model.</w:t>
      </w:r>
    </w:p>
    <w:p>
      <w:pPr>
        <w:pStyle w:val="Heading2"/>
        <w:numPr>
          <w:ilvl w:val="1"/>
          <w:numId w:val="2"/>
        </w:numPr>
        <w:rPr/>
      </w:pPr>
      <w:r>
        <w:rPr/>
        <w:t>Supply and Demand</w:t>
      </w:r>
    </w:p>
    <w:p>
      <w:pPr>
        <w:pStyle w:val="BodyText"/>
        <w:rPr/>
      </w:pPr>
      <w:r>
        <w:rPr/>
      </w:r>
    </w:p>
    <w:p>
      <w:pPr>
        <w:pStyle w:val="BodyText"/>
        <w:rPr/>
      </w:pPr>
      <w:r>
        <w:rPr/>
        <w:t>Data characterizing supply and demand were provided primarily by Resource Data International of Boulder, Colorado.  These data include information for the study year 1996 and projections for the study year 2003.  The supply information includes unit name, corresponding area, heat rate, fuel type and cost, operation and maintenance costs, capacity, and dispatch cost.  The data was refined through comments from industry during a series of meetings sponsored by the Public Utility Commission of Texas (PUCT) during 199</w:t>
      </w:r>
      <w:r>
        <w:rPr>
          <w:color w:val="000000"/>
        </w:rPr>
        <w:t>5 through 1997,</w:t>
      </w:r>
      <w:r>
        <w:rPr/>
        <w:t xml:space="preserve"> as well as through information in public reports.</w:t>
      </w:r>
    </w:p>
    <w:p>
      <w:pPr>
        <w:pStyle w:val="BodyText"/>
        <w:rPr/>
      </w:pPr>
      <w:r>
        <w:rPr/>
      </w:r>
    </w:p>
    <w:p>
      <w:pPr>
        <w:pStyle w:val="BodyText"/>
        <w:rPr/>
      </w:pPr>
      <w:r>
        <w:rPr/>
        <w:t>The input supply files based on this data include unit name, area, region, capacity, and dispatch cost.  Because of the relatively long time periods, start-up and other inter-temporal issues were not represented.  By arranging the units of an area by increasing dispatch cost, a supply function for that area can be constructed.  Such a supply function for the SANT area representing the San Antonio system is shown in Figure 2.</w:t>
      </w:r>
    </w:p>
    <w:p>
      <w:pPr>
        <w:pStyle w:val="BodyText"/>
        <w:rPr/>
      </w:pPr>
      <w:r>
        <w:rPr/>
        <w:t xml:space="preserve">Because real-world units may be unavailable due to planned maintenance outage or forced outage, the supply cannot be assumed as static throughout the year.  To represent such unavailability,  derating factors, </w:t>
      </w:r>
      <w:r>
        <w:rPr>
          <w:i/>
        </w:rPr>
        <w:t>i.e.</w:t>
      </w:r>
      <w:r>
        <w:rPr/>
        <w:t xml:space="preserve"> capacity reduction factors, were applied to units based on time of the year and fuel type.</w:t>
      </w:r>
    </w:p>
    <w:p>
      <w:pPr>
        <w:pStyle w:val="BodyText"/>
        <w:rPr/>
      </w:pPr>
      <w:r>
        <w:rPr/>
        <w:object w:dxaOrig="5121" w:dyaOrig="25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237.75pt;height:132pt" filled="f" o:ole="">
            <v:imagedata r:id="rId4" o:title=""/>
          </v:shape>
          <o:OLEObject Type="Embed" ProgID="Excel.Sheet.12" ShapeID="ole_rId3" DrawAspect="Content" ObjectID="_306240491" r:id="rId3"/>
        </w:object>
      </w:r>
    </w:p>
    <w:p>
      <w:pPr>
        <w:pStyle w:val="BodyText"/>
        <w:rPr/>
      </w:pPr>
      <w:r>
        <w:rPr/>
        <w:t>Figure 2.  Example supply function for the SANT (San Antonio) area.  Dispatch costs of a given unit are assumed constant across the entire output.</w:t>
      </w:r>
    </w:p>
    <w:p>
      <w:pPr>
        <w:pStyle w:val="BodyText"/>
        <w:rPr/>
      </w:pPr>
      <w:r>
        <w:rPr/>
      </w:r>
    </w:p>
    <w:p>
      <w:pPr>
        <w:pStyle w:val="BodyText"/>
        <w:rPr/>
      </w:pPr>
      <w:r>
        <w:rPr/>
        <w:t>Each of the 36 time periods has a demand level associated with it.  These load levels are derived from monthly load duration curves.  Each load duration curve is divided into three segments by load, with levels corresponding to the average demand expected during the highest, middle, and lowest segments.  Figure 3 illustrates the demand in ERCOT for 1996.</w:t>
      </w:r>
    </w:p>
    <w:p>
      <w:pPr>
        <w:pStyle w:val="BodyText"/>
        <w:rPr/>
      </w:pPr>
      <w:r>
        <w:rPr/>
        <w:object w:dxaOrig="5121" w:dyaOrig="3072">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231pt;height:155.25pt" filled="f" o:ole="">
            <v:imagedata r:id="rId6" o:title=""/>
          </v:shape>
          <o:OLEObject Type="Embed" ProgID="Excel.Sheet.12" ShapeID="ole_rId5" DrawAspect="Content" ObjectID="_957905116" r:id="rId5"/>
        </w:object>
      </w:r>
    </w:p>
    <w:p>
      <w:pPr>
        <w:pStyle w:val="BodyText"/>
        <w:rPr/>
      </w:pPr>
      <w:r>
        <w:rPr/>
        <w:t>Figure 3.  Demand in ERCOT for the 36 periods in 1996.</w:t>
      </w:r>
    </w:p>
    <w:p>
      <w:pPr>
        <w:pStyle w:val="Heading2"/>
        <w:numPr>
          <w:ilvl w:val="1"/>
          <w:numId w:val="2"/>
        </w:numPr>
        <w:rPr/>
      </w:pPr>
      <w:r>
        <w:rPr/>
        <w:t>Parameters</w:t>
      </w:r>
    </w:p>
    <w:p>
      <w:pPr>
        <w:pStyle w:val="BodyText"/>
        <w:rPr/>
      </w:pPr>
      <w:r>
        <w:rPr/>
      </w:r>
    </w:p>
    <w:p>
      <w:pPr>
        <w:pStyle w:val="BodyText"/>
        <w:rPr/>
      </w:pPr>
      <w:r>
        <w:rPr/>
        <w:t>There are several groups of parameters that are needed to complete the specification of the SIC study.  These include transmission tariffs and transfer limits.  Transmission tariffs reflect the prices charged for transporting power from one area to another.  Transfer limits approximate the constraints on transmitted quantities.</w:t>
      </w:r>
    </w:p>
    <w:p>
      <w:pPr>
        <w:pStyle w:val="BodyText"/>
        <w:rPr/>
      </w:pPr>
      <w:r>
        <w:rPr/>
      </w:r>
    </w:p>
    <w:p>
      <w:pPr>
        <w:pStyle w:val="BodyText"/>
        <w:rPr/>
      </w:pPr>
      <w:r>
        <w:rPr/>
        <w:t>In order for power to be traded economically from one area to another, the sum of the cost of power in the selling area and the tariff for transmitting the power to the buying area must be less than the cost of power in the buying area.  The transmission system also must be capable of carrying the requested power.  Further constraints may apply which limit transactions.  These topics are discussed below.</w:t>
      </w:r>
    </w:p>
    <w:p>
      <w:pPr>
        <w:pStyle w:val="BodyText"/>
        <w:rPr/>
      </w:pPr>
      <w:r>
        <w:rPr/>
      </w:r>
    </w:p>
    <w:p>
      <w:pPr>
        <w:pStyle w:val="Heading3"/>
        <w:numPr>
          <w:ilvl w:val="2"/>
          <w:numId w:val="2"/>
        </w:numPr>
        <w:rPr/>
      </w:pPr>
      <w:r>
        <w:rPr/>
        <w:t>Transmission Tariffs</w:t>
      </w:r>
    </w:p>
    <w:p>
      <w:pPr>
        <w:pStyle w:val="BodyText"/>
        <w:rPr/>
      </w:pPr>
      <w:r>
        <w:rPr/>
      </w:r>
    </w:p>
    <w:p>
      <w:pPr>
        <w:pStyle w:val="BodyText"/>
        <w:rPr/>
      </w:pPr>
      <w:r>
        <w:rPr/>
        <w:t>Transmission tariff rules in ERCOT and SPP distinguish between “planned” and “unplanned” transmission services for intra-regional transfers.  These two services generally correspond to what historically have been called “firm” and “non-firm” services.  The two types of service have many differences; however, they are differentiated primarily in:</w:t>
      </w:r>
    </w:p>
    <w:p>
      <w:pPr>
        <w:pStyle w:val="BodyText"/>
        <w:rPr/>
      </w:pPr>
      <w:r>
        <w:rPr/>
      </w:r>
    </w:p>
    <w:p>
      <w:pPr>
        <w:pStyle w:val="BodyText"/>
        <w:numPr>
          <w:ilvl w:val="0"/>
          <w:numId w:val="4"/>
        </w:numPr>
        <w:ind w:hanging="0" w:start="360" w:end="0"/>
        <w:rPr/>
      </w:pPr>
      <w:r>
        <w:rPr/>
        <w:t>method of designation,</w:t>
      </w:r>
    </w:p>
    <w:p>
      <w:pPr>
        <w:pStyle w:val="BodyText"/>
        <w:numPr>
          <w:ilvl w:val="0"/>
          <w:numId w:val="4"/>
        </w:numPr>
        <w:ind w:hanging="0" w:start="360" w:end="0"/>
        <w:rPr/>
      </w:pPr>
      <w:r>
        <w:rPr/>
        <w:t>transmission system access priority,</w:t>
      </w:r>
    </w:p>
    <w:p>
      <w:pPr>
        <w:pStyle w:val="BodyText"/>
        <w:numPr>
          <w:ilvl w:val="0"/>
          <w:numId w:val="4"/>
        </w:numPr>
        <w:ind w:hanging="0" w:start="360" w:end="0"/>
        <w:rPr/>
      </w:pPr>
      <w:r>
        <w:rPr/>
        <w:t>method of calculation.</w:t>
      </w:r>
    </w:p>
    <w:p>
      <w:pPr>
        <w:pStyle w:val="BodyText"/>
        <w:rPr/>
      </w:pPr>
      <w:r>
        <w:rPr/>
      </w:r>
    </w:p>
    <w:p>
      <w:pPr>
        <w:pStyle w:val="BodyText"/>
        <w:rPr/>
      </w:pPr>
      <w:r>
        <w:rPr/>
        <w:t>For planned transmission service, the source of energy must have been designated a “planned resource” in advance during a planning process performed on an annual basis.  Nominations must be sufficient to supply a so-called planning load equal to 115 percent of the expected summer peak loads for the transmission customer for the coming year.  The planned transmission service tariff is designed to recover the embedded average costs of the transmission provider and compensate all control area utilities affected for any energy losses resulting from such service.</w:t>
      </w:r>
    </w:p>
    <w:p>
      <w:pPr>
        <w:pStyle w:val="BodyText"/>
        <w:rPr/>
      </w:pPr>
      <w:r>
        <w:rPr/>
      </w:r>
    </w:p>
    <w:p>
      <w:pPr>
        <w:pStyle w:val="BodyText"/>
        <w:rPr/>
      </w:pPr>
      <w:r>
        <w:rPr/>
        <w:t>The tariff for unplanned transmission service in ERCOT compensates only for energy losses and includes an ISO scheduling fee.  In SPP, besides energy losses and an ISO scheduling fee, some allocation of the embedded average cost of transmission is included in the unplanned tariff.</w:t>
      </w:r>
    </w:p>
    <w:p>
      <w:pPr>
        <w:pStyle w:val="BodyText"/>
        <w:rPr/>
      </w:pPr>
      <w:r>
        <w:rPr/>
        <w:t>The adopted and proposed tariff methodologies in effect for ERCOT and SPP at the time of the study have been analyzed and quantified in [3].  In [3], two sets of tariffs were developed: base tariffs and reduced tariffs.  Base tariffs follow the methodology described above.  Reduced tariffs apply ERCOT rules for unplanned transmission tariffs to SPP and the outlying areas for unplanned transactions.  That is, the reduced tariffs apply only the ISO scheduling fee and compensation for energy losses for all areas in the system.</w:t>
      </w:r>
    </w:p>
    <w:p>
      <w:pPr>
        <w:pStyle w:val="BodyText"/>
        <w:rPr/>
      </w:pPr>
      <w:r>
        <w:rPr/>
      </w:r>
    </w:p>
    <w:p>
      <w:pPr>
        <w:pStyle w:val="Heading3"/>
        <w:numPr>
          <w:ilvl w:val="2"/>
          <w:numId w:val="2"/>
        </w:numPr>
        <w:rPr/>
      </w:pPr>
      <w:r>
        <w:rPr/>
        <w:t>Transfer Limits</w:t>
      </w:r>
    </w:p>
    <w:p>
      <w:pPr>
        <w:pStyle w:val="BodyText"/>
        <w:rPr/>
      </w:pPr>
      <w:r>
        <w:rPr/>
      </w:r>
    </w:p>
    <w:p>
      <w:pPr>
        <w:pStyle w:val="BodyText"/>
        <w:rPr/>
      </w:pPr>
      <w:r>
        <w:rPr/>
        <w:t>Besides economic considerations such as transmission costs, physical limitations may prevent power transfers.  Transmission capacity is modeled in an area-to-area manner similar to the area-to-area transmission tariffs previously described.  The transfer capacity over the DC ties is known, and seasonal available transfer capability (ATC) data were available for ERCOT from the ERCOT ISO world wide web site [4].  Unfortunately, similar data for SPP ATC were not available.  The available information was assembled to give seasonal inter-area ATCs within ERCOT and inter-regional transfer limits between ERCOT and SPP.</w:t>
      </w:r>
    </w:p>
    <w:p>
      <w:pPr>
        <w:pStyle w:val="BodyText"/>
        <w:rPr/>
      </w:pPr>
      <w:r>
        <w:rPr/>
      </w:r>
    </w:p>
    <w:p>
      <w:pPr>
        <w:pStyle w:val="BodyText"/>
        <w:rPr/>
      </w:pPr>
      <w:r>
        <w:rPr/>
        <w:t>Inter-area ATCs represent the amount of transmission capacity available for unplanned transfers including consideration for outage contingencies.  No transmission constraints were modeled for transfers within an area.  Furthermore, planned transactions are not capacity limited, since it is assumed that the transmission system was designed and built to accommodate such loading.</w:t>
      </w:r>
    </w:p>
    <w:p>
      <w:pPr>
        <w:pStyle w:val="BodyText"/>
        <w:rPr/>
      </w:pPr>
      <w:r>
        <w:rPr/>
      </w:r>
    </w:p>
    <w:p>
      <w:pPr>
        <w:pStyle w:val="BodyText"/>
        <w:rPr/>
      </w:pPr>
      <w:r>
        <w:rPr/>
        <w:t>Simultaneous ATC information was not available.  To approximately model simultaneous limits, each ERCOT area is subject to aggregate import and export limitations. For a given area, the maximum import and export limits are set equal to the largest ATC from all other areas to the given area and the largest ATC from the given area to all other areas, respectively.  While this approach does not capture all of the simultaneity issues, it does provide more realism than simply using the non-simultaneous limits in a basic pipeline network.</w:t>
      </w:r>
    </w:p>
    <w:p>
      <w:pPr>
        <w:pStyle w:val="BodyText"/>
        <w:rPr/>
      </w:pPr>
      <w:r>
        <w:rPr/>
      </w:r>
    </w:p>
    <w:p>
      <w:pPr>
        <w:pStyle w:val="BodyText"/>
        <w:rPr/>
      </w:pPr>
      <w:r>
        <w:rPr/>
        <w:t>For the existing DC tie configuration between the two regions, the model assumes planned transmission service of up to 220 MW can be scheduled across the ERCOT-SPP interface.  Unplanned transmission service of up to 820 MW can be scheduled.  An inter-regional ATC of 2,500 MW was assumed for the AC interconnection.  This amount was based on studies documented in the Estimated ERCOT-SPP Transfer Capabilities Created section of the Technical/Reliability Issues chapter of the SIC Report.  Sensitivity cases using inter-regional ATCs of 1,500 MW and 3,500 MW were also investigated.  Figure 4 illustrates the general locations of the transmission facilities of the existing DC tie and proposed AC interconnection.</w:t>
      </w:r>
    </w:p>
    <w:p>
      <w:pPr>
        <w:pStyle w:val="BodyText"/>
        <w:rPr/>
      </w:pPr>
      <w:r>
        <w:rPr/>
      </w:r>
    </w:p>
    <w:p>
      <w:pPr>
        <w:pStyle w:val="BodyText"/>
        <w:rPr/>
      </w:pPr>
      <w:r>
        <w:rPr/>
        <w:drawing>
          <wp:inline distT="0" distB="0" distL="0" distR="0">
            <wp:extent cx="3075305" cy="239522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7"/>
                    <a:srcRect l="-24" t="-31" r="-24" b="-31"/>
                    <a:stretch>
                      <a:fillRect/>
                    </a:stretch>
                  </pic:blipFill>
                  <pic:spPr bwMode="auto">
                    <a:xfrm>
                      <a:off x="0" y="0"/>
                      <a:ext cx="3075305" cy="2395220"/>
                    </a:xfrm>
                    <a:prstGeom prst="rect">
                      <a:avLst/>
                    </a:prstGeom>
                    <a:noFill/>
                  </pic:spPr>
                </pic:pic>
              </a:graphicData>
            </a:graphic>
          </wp:inline>
        </w:drawing>
      </w:r>
    </w:p>
    <w:p>
      <w:pPr>
        <w:pStyle w:val="BodyText"/>
        <w:rPr/>
      </w:pPr>
      <w:r>
        <w:rPr/>
      </w:r>
    </w:p>
    <w:p>
      <w:pPr>
        <w:pStyle w:val="BodyText"/>
        <w:rPr/>
      </w:pPr>
      <w:r>
        <w:rPr/>
        <w:t>Figure 4.  General locations of the transmission facilities of the existing DC tie and proposed AC interconnection.</w:t>
      </w:r>
    </w:p>
    <w:p>
      <w:pPr>
        <w:pStyle w:val="BodyText"/>
        <w:rPr/>
      </w:pPr>
      <w:r>
        <w:rPr/>
      </w:r>
    </w:p>
    <w:p>
      <w:pPr>
        <w:pStyle w:val="BodyText"/>
        <w:rPr/>
      </w:pPr>
      <w:r>
        <w:rPr/>
      </w:r>
    </w:p>
    <w:p>
      <w:pPr>
        <w:pStyle w:val="Heading3"/>
        <w:numPr>
          <w:ilvl w:val="2"/>
          <w:numId w:val="2"/>
        </w:numPr>
        <w:rPr/>
      </w:pPr>
      <w:r>
        <w:rPr/>
        <w:t>Other Parameters</w:t>
      </w:r>
    </w:p>
    <w:p>
      <w:pPr>
        <w:pStyle w:val="BodyText"/>
        <w:rPr/>
      </w:pPr>
      <w:r>
        <w:rPr/>
      </w:r>
    </w:p>
    <w:p>
      <w:pPr>
        <w:pStyle w:val="BodyText"/>
        <w:rPr/>
      </w:pPr>
      <w:r>
        <w:rPr/>
        <w:t>The two previous groups of specifications, transmission tariffs and transfer limits, substantially define the model.  There are some additional parameters that were specified.  The first involves a hurdle limit on the value of trades.  While it is conceivable that the system and traders would seek to exploit every trade that had sufficient cost reductions to cover transmission tariffs and that could be accommodated by the transfer limits, in practice, not every trade would be executed.  A so-called hurdle rate was introduced which requires that any executed trade provide economic cost reductions in excess of the hurdle rate.  For the base case, a hurdle rate of $0.30 per megawatt-hour was assumed.  Other sensitivity cases with hurdle rates twice and three times the base hurdle rate were also run.  Similarly, a minimum transaction quantity was applied.  This minimum was one kilowatt during a period (1 kW x month/3 = 243 kWh) for all cases.</w:t>
      </w:r>
    </w:p>
    <w:p>
      <w:pPr>
        <w:pStyle w:val="Heading1"/>
        <w:numPr>
          <w:ilvl w:val="0"/>
          <w:numId w:val="2"/>
        </w:numPr>
        <w:ind w:hanging="0" w:start="0"/>
        <w:rPr/>
      </w:pPr>
      <w:r>
        <w:rPr/>
        <w:t>Methodology</w:t>
      </w:r>
    </w:p>
    <w:p>
      <w:pPr>
        <w:pStyle w:val="BodyText"/>
        <w:rPr/>
      </w:pPr>
      <w:r>
        <w:rPr/>
      </w:r>
    </w:p>
    <w:p>
      <w:pPr>
        <w:pStyle w:val="BodyText"/>
        <w:rPr/>
      </w:pPr>
      <w:r>
        <w:rPr/>
        <w:t xml:space="preserve">Since transmission tariffs differ depending upon whether a transaction is considered planned of unplanned, the model must reflect the distinction.  Therefore, the model operates in two stages.  The first stage performs the nomination process, </w:t>
      </w:r>
      <w:r>
        <w:rPr>
          <w:i/>
        </w:rPr>
        <w:t>i.e.</w:t>
      </w:r>
      <w:r>
        <w:rPr/>
        <w:t xml:space="preserve"> the preceding-year designation of planned resources.  The second stage determines the generation levels and the trading patterns using the planned resources from the first stage and/or unplanned resources.  The following subsections describe each stage in greater detail.</w:t>
      </w:r>
    </w:p>
    <w:p>
      <w:pPr>
        <w:pStyle w:val="BodyText"/>
        <w:rPr/>
      </w:pPr>
      <w:r>
        <w:rPr/>
      </w:r>
    </w:p>
    <w:p>
      <w:pPr>
        <w:pStyle w:val="Heading2"/>
        <w:numPr>
          <w:ilvl w:val="1"/>
          <w:numId w:val="2"/>
        </w:numPr>
        <w:rPr/>
      </w:pPr>
      <w:r>
        <w:rPr/>
        <w:t>Planned Resource Stage</w:t>
      </w:r>
    </w:p>
    <w:p>
      <w:pPr>
        <w:pStyle w:val="BodyText"/>
        <w:rPr/>
      </w:pPr>
      <w:r>
        <w:rPr/>
      </w:r>
    </w:p>
    <w:p>
      <w:pPr>
        <w:pStyle w:val="BodyText"/>
        <w:rPr/>
      </w:pPr>
      <w:r>
        <w:rPr/>
        <w:t xml:space="preserve">Planned resource designations are determined in a “ground up” manner.  That is, there is no pre-set designation or bias built into the model.  The planned tariff is based on the vector-absolute-megawatt-mile cost allocation methodology [3,5].  This methodology creates tariffs that tend to increase with distance between the supply and demand.  As a result, the vast majority of planned resources are local, </w:t>
      </w:r>
      <w:r>
        <w:rPr>
          <w:i/>
        </w:rPr>
        <w:t>i.e.</w:t>
      </w:r>
      <w:r>
        <w:rPr/>
        <w:t xml:space="preserve"> in the same market area as the designated load.</w:t>
      </w:r>
    </w:p>
    <w:p>
      <w:pPr>
        <w:pStyle w:val="BodyText"/>
        <w:rPr/>
      </w:pPr>
      <w:r>
        <w:rPr/>
      </w:r>
    </w:p>
    <w:p>
      <w:pPr>
        <w:pStyle w:val="BodyText"/>
        <w:rPr/>
      </w:pPr>
      <w:r>
        <w:rPr/>
        <w:t>The generation units are separated into 27 supply functions for each of the 27 market areas in the model and sorted by increasing dispatch cost.  Th planned resource designation process may be conceptualized by using a 27x27 matrix with the rows associated with the supply from the market areas and the columns associated with the demand of the market areas.  Therefore, each row corresponds to a market area, as does each column.  To fill a row of the matrix, the lowest dispatch cost of available generation for the supply area associated with the row is added to the transmission tariff for transferring power from the supply area to the area of the corresponding column.  By calculating each row, the entire matrix of delivered costs can be constructed.</w:t>
      </w:r>
    </w:p>
    <w:p>
      <w:pPr>
        <w:pStyle w:val="BodyText"/>
        <w:rPr/>
      </w:pPr>
      <w:r>
        <w:rPr/>
      </w:r>
    </w:p>
    <w:p>
      <w:pPr>
        <w:pStyle w:val="BodyText"/>
        <w:rPr/>
      </w:pPr>
      <w:r>
        <w:rPr/>
        <w:t>The lowest delivered cost cell in the matrix is then identified.  The row of this cell identifies the supply area, and the column identifies the demand area.  As stated before, because of the planned tariff methodology, the lowest delivered cost cell is often located such that the supply area is the same as the demand area.  Lesser of the supply available from the current unit and the amount of remaining unmet demand determines the amount transacted.  If the supply available is less than the remaining unmet demand, then the amount of unmet demand is reduced by the available capacity.  In the opposite case, the unmet demand is removed altogether.</w:t>
      </w:r>
    </w:p>
    <w:p>
      <w:pPr>
        <w:pStyle w:val="BodyText"/>
        <w:rPr/>
      </w:pPr>
      <w:r>
        <w:rPr/>
      </w:r>
    </w:p>
    <w:p>
      <w:pPr>
        <w:pStyle w:val="BodyText"/>
        <w:rPr/>
      </w:pPr>
      <w:r>
        <w:rPr/>
        <w:t>In either case, the generating unit is designated a planned resource for the demand area.  Since, by regulatory rule of the PUCT, a resource may not be planned for more than one area, the generating unit is no longer available to meet further demand even if capacity remains.  The next lowest operating cost unit now becomes the lowest cost unit available to be used in constructing the delivered cost matrix.  The matrix is updated to reflect the new lowest cost unit available.</w:t>
      </w:r>
    </w:p>
    <w:p>
      <w:pPr>
        <w:pStyle w:val="BodyText"/>
        <w:rPr/>
      </w:pPr>
      <w:r>
        <w:rPr/>
      </w:r>
    </w:p>
    <w:p>
      <w:pPr>
        <w:pStyle w:val="BodyText"/>
        <w:rPr/>
      </w:pPr>
      <w:r>
        <w:rPr/>
        <w:t>The iterative process of constructing the matrix, identifying the lowest delivered cost cell, and updating the supply and demand repeats until all of the demand is met or all of the supply is exhausted.  At this point, all units are either planned for a particular area or not planned for any area.  When the iterations terminate, the planned resource stage is complete.</w:t>
      </w:r>
    </w:p>
    <w:p>
      <w:pPr>
        <w:pStyle w:val="BodyText"/>
        <w:rPr/>
      </w:pPr>
      <w:r>
        <w:rPr/>
      </w:r>
    </w:p>
    <w:p>
      <w:pPr>
        <w:pStyle w:val="Heading2"/>
        <w:numPr>
          <w:ilvl w:val="1"/>
          <w:numId w:val="2"/>
        </w:numPr>
        <w:rPr/>
      </w:pPr>
      <w:r>
        <w:rPr/>
        <w:t>Unplanned Resource Stage</w:t>
      </w:r>
    </w:p>
    <w:p>
      <w:pPr>
        <w:pStyle w:val="BodyText"/>
        <w:rPr/>
      </w:pPr>
      <w:r>
        <w:rPr/>
      </w:r>
    </w:p>
    <w:p>
      <w:pPr>
        <w:pStyle w:val="BodyText"/>
        <w:rPr/>
      </w:pPr>
      <w:r>
        <w:rPr/>
        <w:t>After the planned resource stage is completed, the 36 load periods that represent the year can be run.  The basic algorithm of the unplanned stage, therefore, is performed 36 times.  The supply function for each area in this stage is somewhat different from that described in the previous stage.  In the unplanned resource stage, the supply function of an area contains those units which were planned for that area in the planned resource stage and those units which were not planned for any area and which are geographically located in that area.</w:t>
      </w:r>
    </w:p>
    <w:p>
      <w:pPr>
        <w:pStyle w:val="BodyText"/>
        <w:rPr/>
      </w:pPr>
      <w:r>
        <w:rPr/>
      </w:r>
    </w:p>
    <w:p>
      <w:pPr>
        <w:pStyle w:val="BodyText"/>
        <w:rPr/>
      </w:pPr>
      <w:r>
        <w:rPr/>
        <w:t>A period starts with each area determining the point on its supply function needed to meet its own demand.  Each area selects units starting with the lowest dispatch cost and moving upward.  After each area has calculated its point on the supply function, the incremental and decremental dispatch costs can be calculated.</w:t>
      </w:r>
    </w:p>
    <w:p>
      <w:pPr>
        <w:pStyle w:val="BodyText"/>
        <w:rPr/>
      </w:pPr>
      <w:r>
        <w:rPr/>
      </w:r>
    </w:p>
    <w:p>
      <w:pPr>
        <w:pStyle w:val="BodyText"/>
        <w:rPr/>
      </w:pPr>
      <w:r>
        <w:rPr/>
        <w:t>At this point, all demand has already been met.  There still may exist a possibility that through unplanned transactions, costs can be reduced.  The remainder of the process seeks out these cost reductions by trading marginal generation.</w:t>
      </w:r>
    </w:p>
    <w:p>
      <w:pPr>
        <w:pStyle w:val="BodyText"/>
        <w:rPr/>
      </w:pPr>
      <w:r>
        <w:rPr/>
      </w:r>
    </w:p>
    <w:p>
      <w:pPr>
        <w:pStyle w:val="BodyText"/>
        <w:rPr/>
      </w:pPr>
      <w:r>
        <w:rPr/>
        <w:t>A high cost area may wish to offset all local generation in favor of imports, and preliminary runs of the simulation showed that such situations exist.  In most systems, however, shutting off all local generation units is not feasible due to constraints such as voltage support.  Generation units that are required to operate in an area for reliability reasons are called “must-run” units.  To account for this, a heuristic trading constraint, the minimum planned fraction (MPF), is introduced.  The MPF restricts an area from offsetting all of its planned resources with imports by setting the fraction of demand that must be served using planned resources.</w:t>
      </w:r>
    </w:p>
    <w:p>
      <w:pPr>
        <w:pStyle w:val="BodyText"/>
        <w:rPr/>
      </w:pPr>
      <w:r>
        <w:rPr/>
      </w:r>
    </w:p>
    <w:p>
      <w:pPr>
        <w:pStyle w:val="BodyText"/>
        <w:rPr/>
      </w:pPr>
      <w:r>
        <w:rPr/>
        <w:t>In a similar way to the planned resource stage, a 27x27 matrix may be conceptualized.  However, instead of calculating delivered costs, cost changes from transactions are determined.  The cost change from transaction for a cell in a given row and column is the difference of the incremental cost of the selling area corresponding to the row and the decremental cost of the buying area corresponding to the column, adjusted by the appropriate unplanned transmission tariff for the areas involved.  The matrix is filled out cell-by-cell in this manner.</w:t>
      </w:r>
    </w:p>
    <w:p>
      <w:pPr>
        <w:pStyle w:val="BodyText"/>
        <w:rPr/>
      </w:pPr>
      <w:r>
        <w:rPr/>
      </w:r>
    </w:p>
    <w:p>
      <w:pPr>
        <w:pStyle w:val="BodyText"/>
        <w:rPr/>
      </w:pPr>
      <w:r>
        <w:rPr/>
        <w:t xml:space="preserve">The cell in the matrix with the most negative change in cost, </w:t>
      </w:r>
      <w:r>
        <w:rPr>
          <w:i/>
        </w:rPr>
        <w:t>i.e.</w:t>
      </w:r>
      <w:r>
        <w:rPr/>
        <w:t xml:space="preserve"> savings, is chosen.  The transaction quantity may be limited by available transfer capability limits, maximum export/import limits, and inter-regional transfer limits.  In some instances, the limits may be so binding that no amount can be transacted.  Such a cell is called </w:t>
      </w:r>
      <w:r>
        <w:rPr>
          <w:i/>
        </w:rPr>
        <w:t>infeasible</w:t>
      </w:r>
      <w:r>
        <w:rPr/>
        <w:t>.  When a feasible cell is found, the transaction quantity is determined by the most binding constraint.</w:t>
      </w:r>
    </w:p>
    <w:p>
      <w:pPr>
        <w:pStyle w:val="BodyText"/>
        <w:rPr/>
      </w:pPr>
      <w:r>
        <w:rPr/>
      </w:r>
    </w:p>
    <w:p>
      <w:pPr>
        <w:pStyle w:val="BodyText"/>
        <w:rPr/>
      </w:pPr>
      <w:r>
        <w:rPr/>
        <w:t>The process of constructing the matrix, identifying the feasible cell with the greatest savings, and updating is repeated until the matrix contains no feasible cells with cost savings.  At this point, the load period has been solved and the next period can be analyzed.</w:t>
      </w:r>
    </w:p>
    <w:p>
      <w:pPr>
        <w:pStyle w:val="BodyText"/>
        <w:rPr/>
      </w:pPr>
      <w:r>
        <w:rPr/>
      </w:r>
    </w:p>
    <w:p>
      <w:pPr>
        <w:pStyle w:val="Heading1"/>
        <w:numPr>
          <w:ilvl w:val="0"/>
          <w:numId w:val="2"/>
        </w:numPr>
        <w:ind w:hanging="0" w:start="0"/>
        <w:rPr/>
      </w:pPr>
      <w:r>
        <w:rPr/>
        <w:t>Results</w:t>
      </w:r>
    </w:p>
    <w:p>
      <w:pPr>
        <w:pStyle w:val="Heading2"/>
        <w:numPr>
          <w:ilvl w:val="1"/>
          <w:numId w:val="2"/>
        </w:numPr>
        <w:rPr/>
      </w:pPr>
      <w:r>
        <w:rPr/>
        <w:t>Scenarios</w:t>
      </w:r>
    </w:p>
    <w:p>
      <w:pPr>
        <w:pStyle w:val="BodyText"/>
        <w:rPr/>
      </w:pPr>
      <w:r>
        <w:rPr/>
      </w:r>
    </w:p>
    <w:p>
      <w:pPr>
        <w:pStyle w:val="BodyText"/>
        <w:rPr/>
      </w:pPr>
      <w:r>
        <w:rPr/>
        <w:t>A simulation of an entire year with a particular set of specifications is referred to as a “run” of the GCEPSM.  For each scenario, a pair of runs using the existing DC interconnection and the proposed AC interconnection was executed.  Such a DC/AC pair is referred to as a case.  The gains-from-trade under a particular scenario is calculated from the difference in total cost for each run in the case.</w:t>
      </w:r>
    </w:p>
    <w:p>
      <w:pPr>
        <w:pStyle w:val="BodyText"/>
        <w:rPr/>
      </w:pPr>
      <w:r>
        <w:rPr/>
      </w:r>
    </w:p>
    <w:p>
      <w:pPr>
        <w:pStyle w:val="BodyText"/>
        <w:rPr/>
      </w:pPr>
      <w:r>
        <w:rPr/>
        <w:t>Scenarios for which cases were performed include: variations in fuel prices, variations in transfer limits, alternative hurdle rates, alternative MPFs, and variations in generation and demand patterns and levels.  These scenarios were done with each change tested one-at-a-time.  Therefore, all other parameters were left as in the base case set when performing a single sensitivity.  Sensitivity cases were done using both base tariffs and reduced tariffs, and, when applicable, analogous cases were also made for 1996 and 2003.</w:t>
      </w:r>
    </w:p>
    <w:p>
      <w:pPr>
        <w:pStyle w:val="BodyText"/>
        <w:rPr/>
      </w:pPr>
      <w:r>
        <w:rPr/>
      </w:r>
    </w:p>
    <w:p>
      <w:pPr>
        <w:pStyle w:val="BodyText"/>
        <w:rPr/>
      </w:pPr>
      <w:r>
        <w:rPr/>
        <w:t>The fuel price variations comprise three scenarios: oil and gas prices increased by 50 percent, coal prices decreased by 10 percent, and a uniform gas price applied in all areas.  Transfer limits scenarios include: a 40 percent increase in the interface transfer limit of the AC ties from 2,500 MW to 3,500 MW, a 40 percent decrease in the interface transfer limit of the AC ties, and a relaxing of all inter-area ATCs within ERCOT.</w:t>
      </w:r>
    </w:p>
    <w:p>
      <w:pPr>
        <w:pStyle w:val="Heading2"/>
        <w:numPr>
          <w:ilvl w:val="1"/>
          <w:numId w:val="2"/>
        </w:numPr>
        <w:rPr/>
      </w:pPr>
      <w:r>
        <w:rPr/>
        <w:t>Highlights</w:t>
      </w:r>
    </w:p>
    <w:p>
      <w:pPr>
        <w:pStyle w:val="BodyText"/>
        <w:rPr/>
      </w:pPr>
      <w:r>
        <w:rPr/>
      </w:r>
    </w:p>
    <w:p>
      <w:pPr>
        <w:pStyle w:val="BodyText"/>
        <w:rPr/>
      </w:pPr>
      <w:r>
        <w:rPr/>
        <w:t>In total, almost 13,000 output files resulted.  This section presents highlights of results and significant conclusions.  Further discussion is presented in [1,2].</w:t>
      </w:r>
    </w:p>
    <w:p>
      <w:pPr>
        <w:pStyle w:val="BodyText"/>
        <w:rPr/>
      </w:pPr>
      <w:r>
        <w:rPr/>
      </w:r>
    </w:p>
    <w:p>
      <w:pPr>
        <w:pStyle w:val="BodyText"/>
        <w:rPr/>
      </w:pPr>
      <w:r>
        <w:rPr/>
        <w:t>The definition of gain-from-trade should be kept in mind when examining the results.  The difference in total annual cost to serve demand between the proposed AC interconnection and the existing DC interconnection determines this figure of merit.  Comparing one case to another, then, is the comparison of differences.  A scenario that increases costs over the base case can either increase gains-from-trade or reduce gains-from-trade.</w:t>
      </w:r>
    </w:p>
    <w:p>
      <w:pPr>
        <w:pStyle w:val="BodyText"/>
        <w:rPr/>
      </w:pPr>
      <w:r>
        <w:rPr/>
      </w:r>
    </w:p>
    <w:p>
      <w:pPr>
        <w:pStyle w:val="BodyText"/>
        <w:rPr/>
      </w:pPr>
      <w:r>
        <w:rPr/>
        <w:t>Seven scenarios are numbered and summarized in Tables 1 and 2.  Each scenario includes cases for 1996 and 2003.  The results will be discussed for 1996 first, and then 2003.  Scenarios 2 through 4 are discussed when comparing the two study years.</w:t>
      </w:r>
    </w:p>
    <w:p>
      <w:pPr>
        <w:pStyle w:val="BodyText"/>
        <w:rPr/>
      </w:pPr>
      <w:r>
        <w:rPr/>
      </w:r>
    </w:p>
    <w:tbl>
      <w:tblPr>
        <w:tblW w:w="4832" w:type="dxa"/>
        <w:jc w:val="start"/>
        <w:tblInd w:w="0" w:type="dxa"/>
        <w:tblLayout w:type="fixed"/>
        <w:tblCellMar>
          <w:top w:w="0" w:type="dxa"/>
          <w:start w:w="108" w:type="dxa"/>
          <w:bottom w:w="0" w:type="dxa"/>
          <w:end w:w="108" w:type="dxa"/>
        </w:tblCellMar>
      </w:tblPr>
      <w:tblGrid>
        <w:gridCol w:w="316"/>
        <w:gridCol w:w="2736"/>
        <w:gridCol w:w="864"/>
        <w:gridCol w:w="916"/>
      </w:tblGrid>
      <w:tr>
        <w:trPr/>
        <w:tc>
          <w:tcPr>
            <w:tcW w:w="3052" w:type="dxa"/>
            <w:gridSpan w:val="2"/>
            <w:tcBorders>
              <w:top w:val="single" w:sz="4" w:space="0" w:color="000000"/>
              <w:start w:val="single" w:sz="4" w:space="0" w:color="000000"/>
              <w:end w:val="single" w:sz="4" w:space="0" w:color="000000"/>
            </w:tcBorders>
          </w:tcPr>
          <w:p>
            <w:pPr>
              <w:pStyle w:val="BodyText"/>
              <w:rPr/>
            </w:pPr>
            <w:r>
              <w:rPr/>
              <w:t>1996 Scenarios</w:t>
            </w:r>
          </w:p>
        </w:tc>
        <w:tc>
          <w:tcPr>
            <w:tcW w:w="1780" w:type="dxa"/>
            <w:gridSpan w:val="2"/>
            <w:tcBorders>
              <w:top w:val="single" w:sz="4" w:space="0" w:color="000000"/>
              <w:start w:val="single" w:sz="4" w:space="0" w:color="000000"/>
              <w:bottom w:val="single" w:sz="4" w:space="0" w:color="000000"/>
              <w:end w:val="single" w:sz="4" w:space="0" w:color="000000"/>
            </w:tcBorders>
          </w:tcPr>
          <w:p>
            <w:pPr>
              <w:pStyle w:val="BodyText"/>
              <w:jc w:val="center"/>
              <w:rPr/>
            </w:pPr>
            <w:r>
              <w:rPr/>
              <w:t>Tariff</w:t>
            </w:r>
          </w:p>
        </w:tc>
      </w:tr>
      <w:tr>
        <w:trPr/>
        <w:tc>
          <w:tcPr>
            <w:tcW w:w="3052" w:type="dxa"/>
            <w:gridSpan w:val="2"/>
            <w:tcBorders>
              <w:start w:val="single" w:sz="4" w:space="0" w:color="000000"/>
              <w:bottom w:val="double" w:sz="4" w:space="0" w:color="000000"/>
              <w:end w:val="single" w:sz="4" w:space="0" w:color="000000"/>
            </w:tcBorders>
          </w:tcPr>
          <w:p>
            <w:pPr>
              <w:pStyle w:val="BodyText"/>
              <w:rPr/>
            </w:pPr>
            <w:r>
              <w:rPr/>
              <w:t>Number and Description</w:t>
            </w:r>
          </w:p>
        </w:tc>
        <w:tc>
          <w:tcPr>
            <w:tcW w:w="864" w:type="dxa"/>
            <w:tcBorders>
              <w:top w:val="single" w:sz="4" w:space="0" w:color="000000"/>
              <w:start w:val="single" w:sz="4" w:space="0" w:color="000000"/>
              <w:bottom w:val="double" w:sz="4" w:space="0" w:color="000000"/>
              <w:end w:val="single" w:sz="4" w:space="0" w:color="000000"/>
            </w:tcBorders>
          </w:tcPr>
          <w:p>
            <w:pPr>
              <w:pStyle w:val="BodyText"/>
              <w:jc w:val="center"/>
              <w:rPr/>
            </w:pPr>
            <w:r>
              <w:rPr/>
              <w:t>Base</w:t>
            </w:r>
          </w:p>
        </w:tc>
        <w:tc>
          <w:tcPr>
            <w:tcW w:w="916" w:type="dxa"/>
            <w:tcBorders>
              <w:top w:val="single" w:sz="4" w:space="0" w:color="000000"/>
              <w:start w:val="single" w:sz="4" w:space="0" w:color="000000"/>
              <w:bottom w:val="double" w:sz="4" w:space="0" w:color="000000"/>
              <w:end w:val="single" w:sz="4" w:space="0" w:color="000000"/>
            </w:tcBorders>
          </w:tcPr>
          <w:p>
            <w:pPr>
              <w:pStyle w:val="BodyText"/>
              <w:jc w:val="center"/>
              <w:rPr/>
            </w:pPr>
            <w:r>
              <w:rPr/>
              <w:t>Reduced</w:t>
            </w:r>
          </w:p>
        </w:tc>
      </w:tr>
      <w:tr>
        <w:trPr/>
        <w:tc>
          <w:tcPr>
            <w:tcW w:w="316" w:type="dxa"/>
            <w:tcBorders>
              <w:top w:val="double" w:sz="4" w:space="0" w:color="000000"/>
              <w:start w:val="single" w:sz="4" w:space="0" w:color="000000"/>
            </w:tcBorders>
          </w:tcPr>
          <w:p>
            <w:pPr>
              <w:pStyle w:val="BodyText"/>
              <w:rPr/>
            </w:pPr>
            <w:r>
              <w:rPr/>
              <w:t>1</w:t>
            </w:r>
          </w:p>
        </w:tc>
        <w:tc>
          <w:tcPr>
            <w:tcW w:w="2736" w:type="dxa"/>
            <w:tcBorders>
              <w:top w:val="double" w:sz="4" w:space="0" w:color="000000"/>
              <w:end w:val="single" w:sz="4" w:space="0" w:color="000000"/>
            </w:tcBorders>
          </w:tcPr>
          <w:p>
            <w:pPr>
              <w:pStyle w:val="BodyText"/>
              <w:rPr/>
            </w:pPr>
            <w:r>
              <w:rPr/>
              <w:t>Base</w:t>
            </w:r>
          </w:p>
        </w:tc>
        <w:tc>
          <w:tcPr>
            <w:tcW w:w="864" w:type="dxa"/>
            <w:tcBorders>
              <w:top w:val="double" w:sz="4" w:space="0" w:color="000000"/>
              <w:start w:val="single" w:sz="4" w:space="0" w:color="000000"/>
              <w:end w:val="single" w:sz="4" w:space="0" w:color="000000"/>
            </w:tcBorders>
          </w:tcPr>
          <w:p>
            <w:pPr>
              <w:pStyle w:val="BodyText"/>
              <w:tabs>
                <w:tab w:val="clear" w:pos="720"/>
                <w:tab w:val="decimal" w:pos="368" w:leader="none"/>
              </w:tabs>
              <w:rPr/>
            </w:pPr>
            <w:r>
              <w:rPr/>
              <w:t>12.6</w:t>
            </w:r>
          </w:p>
        </w:tc>
        <w:tc>
          <w:tcPr>
            <w:tcW w:w="916" w:type="dxa"/>
            <w:tcBorders>
              <w:top w:val="double" w:sz="4" w:space="0" w:color="000000"/>
              <w:start w:val="single" w:sz="4" w:space="0" w:color="000000"/>
              <w:end w:val="single" w:sz="4" w:space="0" w:color="000000"/>
            </w:tcBorders>
          </w:tcPr>
          <w:p>
            <w:pPr>
              <w:pStyle w:val="BodyText"/>
              <w:tabs>
                <w:tab w:val="clear" w:pos="720"/>
                <w:tab w:val="decimal" w:pos="404" w:leader="none"/>
              </w:tabs>
              <w:rPr/>
            </w:pPr>
            <w:r>
              <w:rPr/>
              <w:t>107.5</w:t>
            </w:r>
          </w:p>
        </w:tc>
      </w:tr>
      <w:tr>
        <w:trPr/>
        <w:tc>
          <w:tcPr>
            <w:tcW w:w="316" w:type="dxa"/>
            <w:tcBorders>
              <w:start w:val="single" w:sz="4" w:space="0" w:color="000000"/>
            </w:tcBorders>
          </w:tcPr>
          <w:p>
            <w:pPr>
              <w:pStyle w:val="BodyText"/>
              <w:rPr/>
            </w:pPr>
            <w:r>
              <w:rPr/>
              <w:t>2</w:t>
            </w:r>
          </w:p>
        </w:tc>
        <w:tc>
          <w:tcPr>
            <w:tcW w:w="2736" w:type="dxa"/>
            <w:tcBorders>
              <w:end w:val="single" w:sz="4" w:space="0" w:color="000000"/>
            </w:tcBorders>
          </w:tcPr>
          <w:p>
            <w:pPr>
              <w:pStyle w:val="BodyText"/>
              <w:rPr/>
            </w:pPr>
            <w:r>
              <w:rPr/>
              <w:t xml:space="preserve"> </w:t>
            </w:r>
            <w:r>
              <w:rPr/>
              <w:t>increased oil &amp; gas prices</w:t>
            </w:r>
          </w:p>
        </w:tc>
        <w:tc>
          <w:tcPr>
            <w:tcW w:w="864" w:type="dxa"/>
            <w:tcBorders>
              <w:start w:val="single" w:sz="4" w:space="0" w:color="000000"/>
              <w:end w:val="single" w:sz="4" w:space="0" w:color="000000"/>
            </w:tcBorders>
          </w:tcPr>
          <w:p>
            <w:pPr>
              <w:pStyle w:val="BodyText"/>
              <w:tabs>
                <w:tab w:val="clear" w:pos="720"/>
                <w:tab w:val="decimal" w:pos="368" w:leader="none"/>
              </w:tabs>
              <w:rPr/>
            </w:pPr>
            <w:r>
              <w:rPr/>
              <w:t>129.6</w:t>
            </w:r>
          </w:p>
        </w:tc>
        <w:tc>
          <w:tcPr>
            <w:tcW w:w="916" w:type="dxa"/>
            <w:tcBorders>
              <w:start w:val="single" w:sz="4" w:space="0" w:color="000000"/>
              <w:end w:val="single" w:sz="4" w:space="0" w:color="000000"/>
            </w:tcBorders>
          </w:tcPr>
          <w:p>
            <w:pPr>
              <w:pStyle w:val="BodyText"/>
              <w:tabs>
                <w:tab w:val="clear" w:pos="720"/>
                <w:tab w:val="decimal" w:pos="404" w:leader="none"/>
              </w:tabs>
              <w:rPr/>
            </w:pPr>
            <w:r>
              <w:rPr/>
              <w:t>251.7</w:t>
            </w:r>
          </w:p>
        </w:tc>
      </w:tr>
      <w:tr>
        <w:trPr/>
        <w:tc>
          <w:tcPr>
            <w:tcW w:w="316" w:type="dxa"/>
            <w:tcBorders>
              <w:start w:val="single" w:sz="4" w:space="0" w:color="000000"/>
            </w:tcBorders>
          </w:tcPr>
          <w:p>
            <w:pPr>
              <w:pStyle w:val="BodyText"/>
              <w:rPr/>
            </w:pPr>
            <w:r>
              <w:rPr/>
              <w:t>3</w:t>
            </w:r>
          </w:p>
        </w:tc>
        <w:tc>
          <w:tcPr>
            <w:tcW w:w="2736" w:type="dxa"/>
            <w:tcBorders>
              <w:end w:val="single" w:sz="4" w:space="0" w:color="000000"/>
            </w:tcBorders>
          </w:tcPr>
          <w:p>
            <w:pPr>
              <w:pStyle w:val="BodyText"/>
              <w:rPr/>
            </w:pPr>
            <w:r>
              <w:rPr/>
              <w:t>decreased coal prices</w:t>
            </w:r>
          </w:p>
        </w:tc>
        <w:tc>
          <w:tcPr>
            <w:tcW w:w="864" w:type="dxa"/>
            <w:tcBorders>
              <w:start w:val="single" w:sz="4" w:space="0" w:color="000000"/>
              <w:end w:val="single" w:sz="4" w:space="0" w:color="000000"/>
            </w:tcBorders>
          </w:tcPr>
          <w:p>
            <w:pPr>
              <w:pStyle w:val="BodyText"/>
              <w:tabs>
                <w:tab w:val="clear" w:pos="720"/>
                <w:tab w:val="decimal" w:pos="368" w:leader="none"/>
              </w:tabs>
              <w:rPr/>
            </w:pPr>
            <w:r>
              <w:rPr/>
              <w:t>15.5</w:t>
            </w:r>
          </w:p>
        </w:tc>
        <w:tc>
          <w:tcPr>
            <w:tcW w:w="916" w:type="dxa"/>
            <w:tcBorders>
              <w:start w:val="single" w:sz="4" w:space="0" w:color="000000"/>
              <w:end w:val="single" w:sz="4" w:space="0" w:color="000000"/>
            </w:tcBorders>
          </w:tcPr>
          <w:p>
            <w:pPr>
              <w:pStyle w:val="BodyText"/>
              <w:tabs>
                <w:tab w:val="clear" w:pos="720"/>
                <w:tab w:val="decimal" w:pos="404" w:leader="none"/>
              </w:tabs>
              <w:rPr/>
            </w:pPr>
            <w:r>
              <w:rPr/>
              <w:t>122.6</w:t>
            </w:r>
          </w:p>
        </w:tc>
      </w:tr>
      <w:tr>
        <w:trPr/>
        <w:tc>
          <w:tcPr>
            <w:tcW w:w="316" w:type="dxa"/>
            <w:tcBorders>
              <w:start w:val="single" w:sz="4" w:space="0" w:color="000000"/>
            </w:tcBorders>
          </w:tcPr>
          <w:p>
            <w:pPr>
              <w:pStyle w:val="BodyText"/>
              <w:rPr/>
            </w:pPr>
            <w:r>
              <w:rPr/>
              <w:t>4</w:t>
            </w:r>
          </w:p>
        </w:tc>
        <w:tc>
          <w:tcPr>
            <w:tcW w:w="2736" w:type="dxa"/>
            <w:tcBorders>
              <w:end w:val="single" w:sz="4" w:space="0" w:color="000000"/>
            </w:tcBorders>
          </w:tcPr>
          <w:p>
            <w:pPr>
              <w:pStyle w:val="BodyText"/>
              <w:rPr/>
            </w:pPr>
            <w:r>
              <w:rPr/>
              <w:t>uniform gas prices</w:t>
            </w:r>
          </w:p>
        </w:tc>
        <w:tc>
          <w:tcPr>
            <w:tcW w:w="864" w:type="dxa"/>
            <w:tcBorders>
              <w:start w:val="single" w:sz="4" w:space="0" w:color="000000"/>
              <w:end w:val="single" w:sz="4" w:space="0" w:color="000000"/>
            </w:tcBorders>
          </w:tcPr>
          <w:p>
            <w:pPr>
              <w:pStyle w:val="BodyText"/>
              <w:tabs>
                <w:tab w:val="clear" w:pos="720"/>
                <w:tab w:val="decimal" w:pos="368" w:leader="none"/>
              </w:tabs>
              <w:rPr/>
            </w:pPr>
            <w:r>
              <w:rPr/>
              <w:t>8.9</w:t>
            </w:r>
          </w:p>
        </w:tc>
        <w:tc>
          <w:tcPr>
            <w:tcW w:w="916" w:type="dxa"/>
            <w:tcBorders>
              <w:start w:val="single" w:sz="4" w:space="0" w:color="000000"/>
              <w:end w:val="single" w:sz="4" w:space="0" w:color="000000"/>
            </w:tcBorders>
          </w:tcPr>
          <w:p>
            <w:pPr>
              <w:pStyle w:val="BodyText"/>
              <w:tabs>
                <w:tab w:val="clear" w:pos="720"/>
                <w:tab w:val="decimal" w:pos="404" w:leader="none"/>
              </w:tabs>
              <w:rPr/>
            </w:pPr>
            <w:r>
              <w:rPr/>
              <w:t>122.9</w:t>
            </w:r>
          </w:p>
        </w:tc>
      </w:tr>
      <w:tr>
        <w:trPr/>
        <w:tc>
          <w:tcPr>
            <w:tcW w:w="316" w:type="dxa"/>
            <w:tcBorders>
              <w:start w:val="single" w:sz="4" w:space="0" w:color="000000"/>
            </w:tcBorders>
          </w:tcPr>
          <w:p>
            <w:pPr>
              <w:pStyle w:val="BodyText"/>
              <w:rPr/>
            </w:pPr>
            <w:r>
              <w:rPr/>
              <w:t>5</w:t>
            </w:r>
          </w:p>
        </w:tc>
        <w:tc>
          <w:tcPr>
            <w:tcW w:w="2736" w:type="dxa"/>
            <w:tcBorders>
              <w:end w:val="single" w:sz="4" w:space="0" w:color="000000"/>
            </w:tcBorders>
          </w:tcPr>
          <w:p>
            <w:pPr>
              <w:pStyle w:val="BodyText"/>
              <w:rPr/>
            </w:pPr>
            <w:r>
              <w:rPr/>
              <w:t>increased AC interface limit</w:t>
            </w:r>
          </w:p>
        </w:tc>
        <w:tc>
          <w:tcPr>
            <w:tcW w:w="864" w:type="dxa"/>
            <w:tcBorders>
              <w:start w:val="single" w:sz="4" w:space="0" w:color="000000"/>
              <w:end w:val="single" w:sz="4" w:space="0" w:color="000000"/>
            </w:tcBorders>
          </w:tcPr>
          <w:p>
            <w:pPr>
              <w:pStyle w:val="BodyText"/>
              <w:tabs>
                <w:tab w:val="clear" w:pos="720"/>
                <w:tab w:val="decimal" w:pos="368" w:leader="none"/>
              </w:tabs>
              <w:rPr/>
            </w:pPr>
            <w:r>
              <w:rPr/>
              <w:t>12.6</w:t>
            </w:r>
          </w:p>
        </w:tc>
        <w:tc>
          <w:tcPr>
            <w:tcW w:w="916" w:type="dxa"/>
            <w:tcBorders>
              <w:start w:val="single" w:sz="4" w:space="0" w:color="000000"/>
              <w:end w:val="single" w:sz="4" w:space="0" w:color="000000"/>
            </w:tcBorders>
          </w:tcPr>
          <w:p>
            <w:pPr>
              <w:pStyle w:val="BodyText"/>
              <w:tabs>
                <w:tab w:val="clear" w:pos="720"/>
                <w:tab w:val="decimal" w:pos="404" w:leader="none"/>
              </w:tabs>
              <w:rPr/>
            </w:pPr>
            <w:r>
              <w:rPr/>
              <w:t>155.7</w:t>
            </w:r>
          </w:p>
        </w:tc>
      </w:tr>
      <w:tr>
        <w:trPr/>
        <w:tc>
          <w:tcPr>
            <w:tcW w:w="316" w:type="dxa"/>
            <w:tcBorders>
              <w:start w:val="single" w:sz="4" w:space="0" w:color="000000"/>
            </w:tcBorders>
          </w:tcPr>
          <w:p>
            <w:pPr>
              <w:pStyle w:val="BodyText"/>
              <w:rPr/>
            </w:pPr>
            <w:r>
              <w:rPr/>
              <w:t>6</w:t>
            </w:r>
          </w:p>
        </w:tc>
        <w:tc>
          <w:tcPr>
            <w:tcW w:w="2736" w:type="dxa"/>
            <w:tcBorders>
              <w:end w:val="single" w:sz="4" w:space="0" w:color="000000"/>
            </w:tcBorders>
          </w:tcPr>
          <w:p>
            <w:pPr>
              <w:pStyle w:val="BodyText"/>
              <w:rPr/>
            </w:pPr>
            <w:r>
              <w:rPr/>
              <w:t>decreased AC interface limit</w:t>
            </w:r>
          </w:p>
        </w:tc>
        <w:tc>
          <w:tcPr>
            <w:tcW w:w="864" w:type="dxa"/>
            <w:tcBorders>
              <w:start w:val="single" w:sz="4" w:space="0" w:color="000000"/>
              <w:end w:val="single" w:sz="4" w:space="0" w:color="000000"/>
            </w:tcBorders>
          </w:tcPr>
          <w:p>
            <w:pPr>
              <w:pStyle w:val="BodyText"/>
              <w:tabs>
                <w:tab w:val="clear" w:pos="720"/>
                <w:tab w:val="decimal" w:pos="368" w:leader="none"/>
              </w:tabs>
              <w:rPr/>
            </w:pPr>
            <w:r>
              <w:rPr/>
              <w:t>11.7</w:t>
            </w:r>
          </w:p>
        </w:tc>
        <w:tc>
          <w:tcPr>
            <w:tcW w:w="916" w:type="dxa"/>
            <w:tcBorders>
              <w:start w:val="single" w:sz="4" w:space="0" w:color="000000"/>
              <w:end w:val="single" w:sz="4" w:space="0" w:color="000000"/>
            </w:tcBorders>
          </w:tcPr>
          <w:p>
            <w:pPr>
              <w:pStyle w:val="BodyText"/>
              <w:tabs>
                <w:tab w:val="clear" w:pos="720"/>
                <w:tab w:val="decimal" w:pos="404" w:leader="none"/>
              </w:tabs>
              <w:rPr/>
            </w:pPr>
            <w:r>
              <w:rPr/>
              <w:t>47.8</w:t>
            </w:r>
          </w:p>
        </w:tc>
      </w:tr>
      <w:tr>
        <w:trPr/>
        <w:tc>
          <w:tcPr>
            <w:tcW w:w="316" w:type="dxa"/>
            <w:tcBorders>
              <w:start w:val="single" w:sz="4" w:space="0" w:color="000000"/>
              <w:bottom w:val="single" w:sz="4" w:space="0" w:color="000000"/>
            </w:tcBorders>
          </w:tcPr>
          <w:p>
            <w:pPr>
              <w:pStyle w:val="BodyText"/>
              <w:rPr/>
            </w:pPr>
            <w:r>
              <w:rPr/>
              <w:t>7</w:t>
            </w:r>
          </w:p>
        </w:tc>
        <w:tc>
          <w:tcPr>
            <w:tcW w:w="2736" w:type="dxa"/>
            <w:tcBorders>
              <w:bottom w:val="single" w:sz="4" w:space="0" w:color="000000"/>
              <w:end w:val="single" w:sz="4" w:space="0" w:color="000000"/>
            </w:tcBorders>
          </w:tcPr>
          <w:p>
            <w:pPr>
              <w:pStyle w:val="BodyText"/>
              <w:rPr/>
            </w:pPr>
            <w:r>
              <w:rPr/>
              <w:t>no intra-ERCOT ATC limits</w:t>
            </w:r>
          </w:p>
        </w:tc>
        <w:tc>
          <w:tcPr>
            <w:tcW w:w="864" w:type="dxa"/>
            <w:tcBorders>
              <w:start w:val="single" w:sz="4" w:space="0" w:color="000000"/>
              <w:bottom w:val="single" w:sz="4" w:space="0" w:color="000000"/>
              <w:end w:val="single" w:sz="4" w:space="0" w:color="000000"/>
            </w:tcBorders>
          </w:tcPr>
          <w:p>
            <w:pPr>
              <w:pStyle w:val="BodyText"/>
              <w:tabs>
                <w:tab w:val="clear" w:pos="720"/>
                <w:tab w:val="decimal" w:pos="368" w:leader="none"/>
              </w:tabs>
              <w:rPr/>
            </w:pPr>
            <w:r>
              <w:rPr/>
              <w:t>12.6</w:t>
            </w:r>
          </w:p>
        </w:tc>
        <w:tc>
          <w:tcPr>
            <w:tcW w:w="916" w:type="dxa"/>
            <w:tcBorders>
              <w:start w:val="single" w:sz="4" w:space="0" w:color="000000"/>
              <w:bottom w:val="single" w:sz="4" w:space="0" w:color="000000"/>
              <w:end w:val="single" w:sz="4" w:space="0" w:color="000000"/>
            </w:tcBorders>
          </w:tcPr>
          <w:p>
            <w:pPr>
              <w:pStyle w:val="BodyText"/>
              <w:tabs>
                <w:tab w:val="clear" w:pos="720"/>
                <w:tab w:val="decimal" w:pos="404" w:leader="none"/>
              </w:tabs>
              <w:rPr/>
            </w:pPr>
            <w:r>
              <w:rPr/>
              <w:t>107.3</w:t>
            </w:r>
          </w:p>
        </w:tc>
      </w:tr>
    </w:tbl>
    <w:p>
      <w:pPr>
        <w:pStyle w:val="BodyText"/>
        <w:rPr/>
      </w:pPr>
      <w:r>
        <w:rPr/>
        <w:t>Table 1.  Summary of gains-from-trade for selected scenarios for 1996.  All figures are annual cost reductions in millions of dollars.</w:t>
      </w:r>
    </w:p>
    <w:p>
      <w:pPr>
        <w:pStyle w:val="BodyText"/>
        <w:rPr/>
      </w:pPr>
      <w:r>
        <w:rPr/>
      </w:r>
    </w:p>
    <w:p>
      <w:pPr>
        <w:pStyle w:val="BodyText"/>
        <w:rPr/>
      </w:pPr>
      <w:r>
        <w:rPr/>
      </w:r>
    </w:p>
    <w:tbl>
      <w:tblPr>
        <w:tblW w:w="4832" w:type="dxa"/>
        <w:jc w:val="start"/>
        <w:tblInd w:w="0" w:type="dxa"/>
        <w:tblLayout w:type="fixed"/>
        <w:tblCellMar>
          <w:top w:w="0" w:type="dxa"/>
          <w:start w:w="108" w:type="dxa"/>
          <w:bottom w:w="0" w:type="dxa"/>
          <w:end w:w="108" w:type="dxa"/>
        </w:tblCellMar>
      </w:tblPr>
      <w:tblGrid>
        <w:gridCol w:w="316"/>
        <w:gridCol w:w="2736"/>
        <w:gridCol w:w="864"/>
        <w:gridCol w:w="916"/>
      </w:tblGrid>
      <w:tr>
        <w:trPr/>
        <w:tc>
          <w:tcPr>
            <w:tcW w:w="3052" w:type="dxa"/>
            <w:gridSpan w:val="2"/>
            <w:tcBorders>
              <w:top w:val="single" w:sz="4" w:space="0" w:color="000000"/>
              <w:start w:val="single" w:sz="4" w:space="0" w:color="000000"/>
              <w:end w:val="single" w:sz="4" w:space="0" w:color="000000"/>
            </w:tcBorders>
          </w:tcPr>
          <w:p>
            <w:pPr>
              <w:pStyle w:val="BodyText"/>
              <w:rPr/>
            </w:pPr>
            <w:r>
              <w:rPr/>
              <w:t>2003 Scenarios</w:t>
            </w:r>
          </w:p>
        </w:tc>
        <w:tc>
          <w:tcPr>
            <w:tcW w:w="1780" w:type="dxa"/>
            <w:gridSpan w:val="2"/>
            <w:tcBorders>
              <w:top w:val="single" w:sz="4" w:space="0" w:color="000000"/>
              <w:start w:val="single" w:sz="4" w:space="0" w:color="000000"/>
              <w:bottom w:val="single" w:sz="4" w:space="0" w:color="000000"/>
              <w:end w:val="single" w:sz="4" w:space="0" w:color="000000"/>
            </w:tcBorders>
          </w:tcPr>
          <w:p>
            <w:pPr>
              <w:pStyle w:val="BodyText"/>
              <w:jc w:val="center"/>
              <w:rPr/>
            </w:pPr>
            <w:r>
              <w:rPr/>
              <w:t>Tariff</w:t>
            </w:r>
          </w:p>
        </w:tc>
      </w:tr>
      <w:tr>
        <w:trPr/>
        <w:tc>
          <w:tcPr>
            <w:tcW w:w="3052" w:type="dxa"/>
            <w:gridSpan w:val="2"/>
            <w:tcBorders>
              <w:start w:val="single" w:sz="4" w:space="0" w:color="000000"/>
              <w:bottom w:val="double" w:sz="4" w:space="0" w:color="000000"/>
              <w:end w:val="single" w:sz="4" w:space="0" w:color="000000"/>
            </w:tcBorders>
          </w:tcPr>
          <w:p>
            <w:pPr>
              <w:pStyle w:val="BodyText"/>
              <w:rPr/>
            </w:pPr>
            <w:r>
              <w:rPr/>
              <w:t>Number and Description</w:t>
            </w:r>
          </w:p>
        </w:tc>
        <w:tc>
          <w:tcPr>
            <w:tcW w:w="864" w:type="dxa"/>
            <w:tcBorders>
              <w:top w:val="single" w:sz="4" w:space="0" w:color="000000"/>
              <w:start w:val="single" w:sz="4" w:space="0" w:color="000000"/>
              <w:bottom w:val="double" w:sz="4" w:space="0" w:color="000000"/>
              <w:end w:val="single" w:sz="4" w:space="0" w:color="000000"/>
            </w:tcBorders>
          </w:tcPr>
          <w:p>
            <w:pPr>
              <w:pStyle w:val="BodyText"/>
              <w:jc w:val="center"/>
              <w:rPr/>
            </w:pPr>
            <w:r>
              <w:rPr/>
              <w:t>Base</w:t>
            </w:r>
          </w:p>
        </w:tc>
        <w:tc>
          <w:tcPr>
            <w:tcW w:w="916" w:type="dxa"/>
            <w:tcBorders>
              <w:top w:val="single" w:sz="4" w:space="0" w:color="000000"/>
              <w:start w:val="single" w:sz="4" w:space="0" w:color="000000"/>
              <w:bottom w:val="double" w:sz="4" w:space="0" w:color="000000"/>
              <w:end w:val="single" w:sz="4" w:space="0" w:color="000000"/>
            </w:tcBorders>
          </w:tcPr>
          <w:p>
            <w:pPr>
              <w:pStyle w:val="BodyText"/>
              <w:jc w:val="center"/>
              <w:rPr/>
            </w:pPr>
            <w:r>
              <w:rPr/>
              <w:t>Reduced</w:t>
            </w:r>
          </w:p>
        </w:tc>
      </w:tr>
      <w:tr>
        <w:trPr/>
        <w:tc>
          <w:tcPr>
            <w:tcW w:w="316" w:type="dxa"/>
            <w:tcBorders>
              <w:top w:val="double" w:sz="4" w:space="0" w:color="000000"/>
              <w:start w:val="single" w:sz="4" w:space="0" w:color="000000"/>
            </w:tcBorders>
          </w:tcPr>
          <w:p>
            <w:pPr>
              <w:pStyle w:val="BodyText"/>
              <w:rPr/>
            </w:pPr>
            <w:r>
              <w:rPr/>
              <w:t>1</w:t>
            </w:r>
          </w:p>
        </w:tc>
        <w:tc>
          <w:tcPr>
            <w:tcW w:w="2736" w:type="dxa"/>
            <w:tcBorders>
              <w:top w:val="double" w:sz="4" w:space="0" w:color="000000"/>
              <w:end w:val="single" w:sz="4" w:space="0" w:color="000000"/>
            </w:tcBorders>
          </w:tcPr>
          <w:p>
            <w:pPr>
              <w:pStyle w:val="BodyText"/>
              <w:rPr/>
            </w:pPr>
            <w:r>
              <w:rPr/>
              <w:t>Base</w:t>
            </w:r>
          </w:p>
        </w:tc>
        <w:tc>
          <w:tcPr>
            <w:tcW w:w="864" w:type="dxa"/>
            <w:tcBorders>
              <w:top w:val="double" w:sz="4" w:space="0" w:color="000000"/>
              <w:start w:val="single" w:sz="4" w:space="0" w:color="000000"/>
              <w:end w:val="single" w:sz="4" w:space="0" w:color="000000"/>
            </w:tcBorders>
          </w:tcPr>
          <w:p>
            <w:pPr>
              <w:pStyle w:val="BodyText"/>
              <w:tabs>
                <w:tab w:val="clear" w:pos="720"/>
                <w:tab w:val="decimal" w:pos="368" w:leader="none"/>
              </w:tabs>
              <w:rPr/>
            </w:pPr>
            <w:r>
              <w:rPr/>
              <w:t>4.1</w:t>
            </w:r>
          </w:p>
        </w:tc>
        <w:tc>
          <w:tcPr>
            <w:tcW w:w="916" w:type="dxa"/>
            <w:tcBorders>
              <w:top w:val="double" w:sz="4" w:space="0" w:color="000000"/>
              <w:start w:val="single" w:sz="4" w:space="0" w:color="000000"/>
              <w:end w:val="single" w:sz="4" w:space="0" w:color="000000"/>
            </w:tcBorders>
          </w:tcPr>
          <w:p>
            <w:pPr>
              <w:pStyle w:val="BodyText"/>
              <w:tabs>
                <w:tab w:val="clear" w:pos="720"/>
                <w:tab w:val="decimal" w:pos="404" w:leader="none"/>
              </w:tabs>
              <w:rPr/>
            </w:pPr>
            <w:r>
              <w:rPr/>
              <w:t>31.0</w:t>
            </w:r>
          </w:p>
        </w:tc>
      </w:tr>
      <w:tr>
        <w:trPr/>
        <w:tc>
          <w:tcPr>
            <w:tcW w:w="316" w:type="dxa"/>
            <w:tcBorders>
              <w:start w:val="single" w:sz="4" w:space="0" w:color="000000"/>
            </w:tcBorders>
          </w:tcPr>
          <w:p>
            <w:pPr>
              <w:pStyle w:val="BodyText"/>
              <w:rPr/>
            </w:pPr>
            <w:r>
              <w:rPr/>
              <w:t>2</w:t>
            </w:r>
          </w:p>
        </w:tc>
        <w:tc>
          <w:tcPr>
            <w:tcW w:w="2736" w:type="dxa"/>
            <w:tcBorders>
              <w:end w:val="single" w:sz="4" w:space="0" w:color="000000"/>
            </w:tcBorders>
          </w:tcPr>
          <w:p>
            <w:pPr>
              <w:pStyle w:val="BodyText"/>
              <w:rPr/>
            </w:pPr>
            <w:r>
              <w:rPr/>
              <w:t xml:space="preserve"> </w:t>
            </w:r>
            <w:r>
              <w:rPr/>
              <w:t>increased oil &amp; gas prices</w:t>
            </w:r>
          </w:p>
        </w:tc>
        <w:tc>
          <w:tcPr>
            <w:tcW w:w="864" w:type="dxa"/>
            <w:tcBorders>
              <w:start w:val="single" w:sz="4" w:space="0" w:color="000000"/>
              <w:end w:val="single" w:sz="4" w:space="0" w:color="000000"/>
            </w:tcBorders>
          </w:tcPr>
          <w:p>
            <w:pPr>
              <w:pStyle w:val="BodyText"/>
              <w:tabs>
                <w:tab w:val="clear" w:pos="720"/>
                <w:tab w:val="decimal" w:pos="368" w:leader="none"/>
              </w:tabs>
              <w:rPr/>
            </w:pPr>
            <w:r>
              <w:rPr/>
              <w:t>42.7</w:t>
            </w:r>
          </w:p>
        </w:tc>
        <w:tc>
          <w:tcPr>
            <w:tcW w:w="916" w:type="dxa"/>
            <w:tcBorders>
              <w:start w:val="single" w:sz="4" w:space="0" w:color="000000"/>
              <w:end w:val="single" w:sz="4" w:space="0" w:color="000000"/>
            </w:tcBorders>
          </w:tcPr>
          <w:p>
            <w:pPr>
              <w:pStyle w:val="BodyText"/>
              <w:tabs>
                <w:tab w:val="clear" w:pos="720"/>
                <w:tab w:val="decimal" w:pos="404" w:leader="none"/>
              </w:tabs>
              <w:rPr/>
            </w:pPr>
            <w:r>
              <w:rPr/>
              <w:t>130.2</w:t>
            </w:r>
          </w:p>
        </w:tc>
      </w:tr>
      <w:tr>
        <w:trPr/>
        <w:tc>
          <w:tcPr>
            <w:tcW w:w="316" w:type="dxa"/>
            <w:tcBorders>
              <w:start w:val="single" w:sz="4" w:space="0" w:color="000000"/>
            </w:tcBorders>
          </w:tcPr>
          <w:p>
            <w:pPr>
              <w:pStyle w:val="BodyText"/>
              <w:rPr/>
            </w:pPr>
            <w:r>
              <w:rPr/>
              <w:t>3</w:t>
            </w:r>
          </w:p>
        </w:tc>
        <w:tc>
          <w:tcPr>
            <w:tcW w:w="2736" w:type="dxa"/>
            <w:tcBorders>
              <w:end w:val="single" w:sz="4" w:space="0" w:color="000000"/>
            </w:tcBorders>
          </w:tcPr>
          <w:p>
            <w:pPr>
              <w:pStyle w:val="BodyText"/>
              <w:rPr/>
            </w:pPr>
            <w:r>
              <w:rPr/>
              <w:t>decreased coal prices</w:t>
            </w:r>
          </w:p>
        </w:tc>
        <w:tc>
          <w:tcPr>
            <w:tcW w:w="864" w:type="dxa"/>
            <w:tcBorders>
              <w:start w:val="single" w:sz="4" w:space="0" w:color="000000"/>
              <w:end w:val="single" w:sz="4" w:space="0" w:color="000000"/>
            </w:tcBorders>
          </w:tcPr>
          <w:p>
            <w:pPr>
              <w:pStyle w:val="BodyText"/>
              <w:tabs>
                <w:tab w:val="clear" w:pos="720"/>
                <w:tab w:val="decimal" w:pos="368" w:leader="none"/>
              </w:tabs>
              <w:rPr/>
            </w:pPr>
            <w:r>
              <w:rPr/>
              <w:t>5.4</w:t>
            </w:r>
          </w:p>
        </w:tc>
        <w:tc>
          <w:tcPr>
            <w:tcW w:w="916" w:type="dxa"/>
            <w:tcBorders>
              <w:start w:val="single" w:sz="4" w:space="0" w:color="000000"/>
              <w:end w:val="single" w:sz="4" w:space="0" w:color="000000"/>
            </w:tcBorders>
          </w:tcPr>
          <w:p>
            <w:pPr>
              <w:pStyle w:val="BodyText"/>
              <w:tabs>
                <w:tab w:val="clear" w:pos="720"/>
                <w:tab w:val="decimal" w:pos="404" w:leader="none"/>
              </w:tabs>
              <w:rPr/>
            </w:pPr>
            <w:r>
              <w:rPr/>
              <w:t>43.7</w:t>
            </w:r>
          </w:p>
        </w:tc>
      </w:tr>
      <w:tr>
        <w:trPr/>
        <w:tc>
          <w:tcPr>
            <w:tcW w:w="316" w:type="dxa"/>
            <w:tcBorders>
              <w:start w:val="single" w:sz="4" w:space="0" w:color="000000"/>
            </w:tcBorders>
          </w:tcPr>
          <w:p>
            <w:pPr>
              <w:pStyle w:val="BodyText"/>
              <w:rPr/>
            </w:pPr>
            <w:r>
              <w:rPr/>
              <w:t>4</w:t>
            </w:r>
          </w:p>
        </w:tc>
        <w:tc>
          <w:tcPr>
            <w:tcW w:w="2736" w:type="dxa"/>
            <w:tcBorders>
              <w:end w:val="single" w:sz="4" w:space="0" w:color="000000"/>
            </w:tcBorders>
          </w:tcPr>
          <w:p>
            <w:pPr>
              <w:pStyle w:val="BodyText"/>
              <w:rPr/>
            </w:pPr>
            <w:r>
              <w:rPr/>
              <w:t>uniform gas prices</w:t>
            </w:r>
          </w:p>
        </w:tc>
        <w:tc>
          <w:tcPr>
            <w:tcW w:w="864" w:type="dxa"/>
            <w:tcBorders>
              <w:start w:val="single" w:sz="4" w:space="0" w:color="000000"/>
              <w:end w:val="single" w:sz="4" w:space="0" w:color="000000"/>
            </w:tcBorders>
          </w:tcPr>
          <w:p>
            <w:pPr>
              <w:pStyle w:val="BodyText"/>
              <w:tabs>
                <w:tab w:val="clear" w:pos="720"/>
                <w:tab w:val="decimal" w:pos="368" w:leader="none"/>
              </w:tabs>
              <w:rPr/>
            </w:pPr>
            <w:r>
              <w:rPr/>
              <w:t>3.9</w:t>
            </w:r>
          </w:p>
        </w:tc>
        <w:tc>
          <w:tcPr>
            <w:tcW w:w="916" w:type="dxa"/>
            <w:tcBorders>
              <w:start w:val="single" w:sz="4" w:space="0" w:color="000000"/>
              <w:end w:val="single" w:sz="4" w:space="0" w:color="000000"/>
            </w:tcBorders>
          </w:tcPr>
          <w:p>
            <w:pPr>
              <w:pStyle w:val="BodyText"/>
              <w:tabs>
                <w:tab w:val="clear" w:pos="720"/>
                <w:tab w:val="decimal" w:pos="404" w:leader="none"/>
              </w:tabs>
              <w:rPr/>
            </w:pPr>
            <w:r>
              <w:rPr/>
              <w:t>51.6</w:t>
            </w:r>
          </w:p>
        </w:tc>
      </w:tr>
      <w:tr>
        <w:trPr/>
        <w:tc>
          <w:tcPr>
            <w:tcW w:w="316" w:type="dxa"/>
            <w:tcBorders>
              <w:start w:val="single" w:sz="4" w:space="0" w:color="000000"/>
            </w:tcBorders>
          </w:tcPr>
          <w:p>
            <w:pPr>
              <w:pStyle w:val="BodyText"/>
              <w:rPr/>
            </w:pPr>
            <w:r>
              <w:rPr/>
              <w:t>5</w:t>
            </w:r>
          </w:p>
        </w:tc>
        <w:tc>
          <w:tcPr>
            <w:tcW w:w="2736" w:type="dxa"/>
            <w:tcBorders>
              <w:end w:val="single" w:sz="4" w:space="0" w:color="000000"/>
            </w:tcBorders>
          </w:tcPr>
          <w:p>
            <w:pPr>
              <w:pStyle w:val="BodyText"/>
              <w:rPr/>
            </w:pPr>
            <w:r>
              <w:rPr/>
              <w:t>increased AC interface limit</w:t>
            </w:r>
          </w:p>
        </w:tc>
        <w:tc>
          <w:tcPr>
            <w:tcW w:w="864" w:type="dxa"/>
            <w:tcBorders>
              <w:start w:val="single" w:sz="4" w:space="0" w:color="000000"/>
              <w:end w:val="single" w:sz="4" w:space="0" w:color="000000"/>
            </w:tcBorders>
          </w:tcPr>
          <w:p>
            <w:pPr>
              <w:pStyle w:val="BodyText"/>
              <w:tabs>
                <w:tab w:val="clear" w:pos="720"/>
                <w:tab w:val="decimal" w:pos="368" w:leader="none"/>
              </w:tabs>
              <w:rPr/>
            </w:pPr>
            <w:r>
              <w:rPr/>
              <w:t>4.1</w:t>
            </w:r>
          </w:p>
        </w:tc>
        <w:tc>
          <w:tcPr>
            <w:tcW w:w="916" w:type="dxa"/>
            <w:tcBorders>
              <w:start w:val="single" w:sz="4" w:space="0" w:color="000000"/>
              <w:end w:val="single" w:sz="4" w:space="0" w:color="000000"/>
            </w:tcBorders>
          </w:tcPr>
          <w:p>
            <w:pPr>
              <w:pStyle w:val="BodyText"/>
              <w:tabs>
                <w:tab w:val="clear" w:pos="720"/>
                <w:tab w:val="decimal" w:pos="404" w:leader="none"/>
              </w:tabs>
              <w:rPr/>
            </w:pPr>
            <w:r>
              <w:rPr/>
              <w:t>40.3</w:t>
            </w:r>
          </w:p>
        </w:tc>
      </w:tr>
      <w:tr>
        <w:trPr/>
        <w:tc>
          <w:tcPr>
            <w:tcW w:w="316" w:type="dxa"/>
            <w:tcBorders>
              <w:start w:val="single" w:sz="4" w:space="0" w:color="000000"/>
            </w:tcBorders>
          </w:tcPr>
          <w:p>
            <w:pPr>
              <w:pStyle w:val="BodyText"/>
              <w:rPr/>
            </w:pPr>
            <w:r>
              <w:rPr/>
              <w:t>6</w:t>
            </w:r>
          </w:p>
        </w:tc>
        <w:tc>
          <w:tcPr>
            <w:tcW w:w="2736" w:type="dxa"/>
            <w:tcBorders>
              <w:end w:val="single" w:sz="4" w:space="0" w:color="000000"/>
            </w:tcBorders>
          </w:tcPr>
          <w:p>
            <w:pPr>
              <w:pStyle w:val="BodyText"/>
              <w:rPr/>
            </w:pPr>
            <w:r>
              <w:rPr/>
              <w:t>decreased AC interface limit</w:t>
            </w:r>
          </w:p>
        </w:tc>
        <w:tc>
          <w:tcPr>
            <w:tcW w:w="864" w:type="dxa"/>
            <w:tcBorders>
              <w:start w:val="single" w:sz="4" w:space="0" w:color="000000"/>
              <w:end w:val="single" w:sz="4" w:space="0" w:color="000000"/>
            </w:tcBorders>
          </w:tcPr>
          <w:p>
            <w:pPr>
              <w:pStyle w:val="BodyText"/>
              <w:tabs>
                <w:tab w:val="clear" w:pos="720"/>
                <w:tab w:val="decimal" w:pos="368" w:leader="none"/>
              </w:tabs>
              <w:rPr/>
            </w:pPr>
            <w:r>
              <w:rPr/>
              <w:t>4.1</w:t>
            </w:r>
          </w:p>
        </w:tc>
        <w:tc>
          <w:tcPr>
            <w:tcW w:w="916" w:type="dxa"/>
            <w:tcBorders>
              <w:start w:val="single" w:sz="4" w:space="0" w:color="000000"/>
              <w:end w:val="single" w:sz="4" w:space="0" w:color="000000"/>
            </w:tcBorders>
          </w:tcPr>
          <w:p>
            <w:pPr>
              <w:pStyle w:val="BodyText"/>
              <w:tabs>
                <w:tab w:val="clear" w:pos="720"/>
                <w:tab w:val="decimal" w:pos="404" w:leader="none"/>
              </w:tabs>
              <w:rPr/>
            </w:pPr>
            <w:r>
              <w:rPr/>
              <w:t>18.8</w:t>
            </w:r>
          </w:p>
        </w:tc>
      </w:tr>
      <w:tr>
        <w:trPr/>
        <w:tc>
          <w:tcPr>
            <w:tcW w:w="316" w:type="dxa"/>
            <w:tcBorders>
              <w:start w:val="single" w:sz="4" w:space="0" w:color="000000"/>
              <w:bottom w:val="single" w:sz="4" w:space="0" w:color="000000"/>
            </w:tcBorders>
          </w:tcPr>
          <w:p>
            <w:pPr>
              <w:pStyle w:val="BodyText"/>
              <w:rPr/>
            </w:pPr>
            <w:r>
              <w:rPr/>
              <w:t>7</w:t>
            </w:r>
          </w:p>
        </w:tc>
        <w:tc>
          <w:tcPr>
            <w:tcW w:w="2736" w:type="dxa"/>
            <w:tcBorders>
              <w:bottom w:val="single" w:sz="4" w:space="0" w:color="000000"/>
              <w:end w:val="single" w:sz="4" w:space="0" w:color="000000"/>
            </w:tcBorders>
          </w:tcPr>
          <w:p>
            <w:pPr>
              <w:pStyle w:val="BodyText"/>
              <w:rPr/>
            </w:pPr>
            <w:r>
              <w:rPr/>
              <w:t>no intra-ERCOT ATC limits</w:t>
            </w:r>
          </w:p>
        </w:tc>
        <w:tc>
          <w:tcPr>
            <w:tcW w:w="864" w:type="dxa"/>
            <w:tcBorders>
              <w:start w:val="single" w:sz="4" w:space="0" w:color="000000"/>
              <w:bottom w:val="single" w:sz="4" w:space="0" w:color="000000"/>
              <w:end w:val="single" w:sz="4" w:space="0" w:color="000000"/>
            </w:tcBorders>
          </w:tcPr>
          <w:p>
            <w:pPr>
              <w:pStyle w:val="BodyText"/>
              <w:tabs>
                <w:tab w:val="clear" w:pos="720"/>
                <w:tab w:val="decimal" w:pos="368" w:leader="none"/>
              </w:tabs>
              <w:rPr/>
            </w:pPr>
            <w:r>
              <w:rPr/>
              <w:t>13.7</w:t>
            </w:r>
          </w:p>
        </w:tc>
        <w:tc>
          <w:tcPr>
            <w:tcW w:w="916" w:type="dxa"/>
            <w:tcBorders>
              <w:start w:val="single" w:sz="4" w:space="0" w:color="000000"/>
              <w:bottom w:val="single" w:sz="4" w:space="0" w:color="000000"/>
              <w:end w:val="single" w:sz="4" w:space="0" w:color="000000"/>
            </w:tcBorders>
          </w:tcPr>
          <w:p>
            <w:pPr>
              <w:pStyle w:val="BodyText"/>
              <w:tabs>
                <w:tab w:val="clear" w:pos="720"/>
                <w:tab w:val="decimal" w:pos="404" w:leader="none"/>
              </w:tabs>
              <w:rPr/>
            </w:pPr>
            <w:r>
              <w:rPr/>
              <w:t>34.3</w:t>
            </w:r>
          </w:p>
        </w:tc>
      </w:tr>
    </w:tbl>
    <w:p>
      <w:pPr>
        <w:pStyle w:val="BodyText"/>
        <w:rPr/>
      </w:pPr>
      <w:r>
        <w:rPr/>
        <w:t>Table 2.  Summary of gains-from-trade for selected scenarios for 2003.  All figures are annual cost reductions in millions of dollars.</w:t>
      </w:r>
    </w:p>
    <w:p>
      <w:pPr>
        <w:pStyle w:val="BodyText"/>
        <w:rPr/>
      </w:pPr>
      <w:r>
        <w:rPr/>
      </w:r>
    </w:p>
    <w:p>
      <w:pPr>
        <w:pStyle w:val="BodyText"/>
        <w:rPr/>
      </w:pPr>
      <w:r>
        <w:rPr/>
        <w:t>In the cases with base tariffs for 1996, shown in Table 1, gains-from-trade vary from $8.9 million to almost $130 million.  Except for Scenario 2, all other scenarios fall between $8.9 million and $15.5 million.  The cluster near the base case gains of $12.6 million imply relative insensitivity of gains-from-trade to changes in AC interconnection capacity increases or decreases, and intra-ERCOT ATC limits.</w:t>
      </w:r>
    </w:p>
    <w:p>
      <w:pPr>
        <w:pStyle w:val="BodyText"/>
        <w:rPr/>
      </w:pPr>
      <w:r>
        <w:rPr/>
      </w:r>
    </w:p>
    <w:p>
      <w:pPr>
        <w:pStyle w:val="BodyText"/>
        <w:rPr/>
      </w:pPr>
      <w:r>
        <w:rPr/>
        <w:t>The lack of change in gains-from-trade for Scenario 5 versus the base case indicates that the proposed interconnection capacity of 2,500 MW is sufficient, since the 40 percent increase did not yield apparent benefits.  The 40 percent interconnection capacity reduction in Scenario 6 only reduces gains-from-trade by just over seven percent.  This suggests that even the 2,500 MW capacity may be adequate.</w:t>
      </w:r>
    </w:p>
    <w:p>
      <w:pPr>
        <w:pStyle w:val="BodyText"/>
        <w:rPr/>
      </w:pPr>
      <w:r>
        <w:rPr/>
      </w:r>
    </w:p>
    <w:p>
      <w:pPr>
        <w:pStyle w:val="BodyText"/>
        <w:rPr/>
      </w:pPr>
      <w:r>
        <w:rPr/>
        <w:t>The results with reduced tariffs for 1996 are somewhat different than those with base case tariffs.  Most notably, in all cases, the gains-from-trade with reduced tariffs exceed those for base case tariffs.  Since tariffs represent a cost or barrier to trade, gains attributable to trade may be lost with higher tariffs.  Despite the apparent difference between the two tariff cases for 1996, there are similarities in some of the results.  Intra-ERCOT ATCs still have relatively small impacts on the gains-from-trade.</w:t>
      </w:r>
    </w:p>
    <w:p>
      <w:pPr>
        <w:pStyle w:val="BodyText"/>
        <w:rPr/>
      </w:pPr>
      <w:r>
        <w:rPr/>
      </w:r>
    </w:p>
    <w:p>
      <w:pPr>
        <w:pStyle w:val="BodyText"/>
        <w:rPr/>
      </w:pPr>
      <w:r>
        <w:rPr/>
        <w:t>These similarities can be misleading.  Relaxing intra-ERCOT ATCs actually decreases slightly grains-from-trade from $107.5 million to $107.3 million.  Removal of intra-ERCOT ATCs should allow for more trade, and presumably more gains.  However, the definition of gains-from-trade refer to the relative cost reductions, so while removal of intra-ERCOT ATCs may increase trade and reduce costs in a given configuration, it may not result in an increase in gains-from-trade.  In fact, intra-ERCOT ATCs are more binding with the DC interconnection, in part because reduced ability to trade with SPP increases the value and need to seek opportunities within ERCOT.  Removing intra-ERCOT trading limits, therefore, reduces costs more in the DC run than in the AC run, resulting in a reduction of overall gains-from-trade.  In this sense, intra-ERCOT transmission expansion is a partial substitute for ERCOT to SPP transmission construction.</w:t>
      </w:r>
    </w:p>
    <w:p>
      <w:pPr>
        <w:pStyle w:val="BodyText"/>
        <w:rPr/>
      </w:pPr>
      <w:r>
        <w:rPr/>
      </w:r>
    </w:p>
    <w:p>
      <w:pPr>
        <w:pStyle w:val="BodyText"/>
        <w:rPr/>
      </w:pPr>
      <w:r>
        <w:rPr/>
        <w:t>In the base tariff case for 1996, results indicate that the proposed interface capacity of 2,500 MW was adequate.  With reduced tariffs, this is no longer the case.  An increase of 40 percent allows for almost 45 percent more gains-from-trade.  This implies that the proposed capacity is insufficient under reduced tariffs.  Scenario 6 with a 40 percent reduction in interface capacity, further supports this claim.  The difference in the results between base and reduced tariffs leads to the conclusion that base tariffs discourage economic trades and may under-utilize the AC interconnection.</w:t>
      </w:r>
    </w:p>
    <w:p>
      <w:pPr>
        <w:pStyle w:val="BodyText"/>
        <w:rPr/>
      </w:pPr>
      <w:r>
        <w:rPr/>
      </w:r>
    </w:p>
    <w:p>
      <w:pPr>
        <w:pStyle w:val="BodyText"/>
        <w:rPr/>
      </w:pPr>
      <w:r>
        <w:rPr/>
        <w:t>Most striking of the results for 2003, shown in Table 2, using either base tariffs or reduced tariffs, is the overall lower gains-from-trade as compared to those results for 1996.  The lack of change in gains-from-trade with respect to interface capacity limit cases for base tariffs shows that even with a 40 percent reduction in capacity, the interface is not fully utilized.  With reduced tariffs, the interface capacity is sometimes binding.</w:t>
      </w:r>
    </w:p>
    <w:p>
      <w:pPr>
        <w:pStyle w:val="BodyText"/>
        <w:rPr/>
      </w:pPr>
      <w:r>
        <w:rPr/>
      </w:r>
    </w:p>
    <w:p>
      <w:pPr>
        <w:pStyle w:val="BodyText"/>
        <w:rPr/>
      </w:pPr>
      <w:r>
        <w:rPr/>
        <w:t>The gains-from-trade for 1996 do not offer guidance on the decision of whether the interconnection is justifiable on gains-from-trade terms.  Since the year has already passed, potential gains-from-trade can never be realized.  The results for 1996, however, are not useless, since the difference between the two years, 1996 and 2003, suggests possible trends.</w:t>
      </w:r>
    </w:p>
    <w:p>
      <w:pPr>
        <w:pStyle w:val="BodyText"/>
        <w:rPr/>
      </w:pPr>
      <w:r>
        <w:rPr/>
      </w:r>
    </w:p>
    <w:p>
      <w:pPr>
        <w:pStyle w:val="BodyText"/>
        <w:rPr/>
      </w:pPr>
      <w:r>
        <w:rPr/>
        <w:t>To start the comparison of the two years, first examine the fuel price scenarios of Scenarios 2 through 4.  In Scenario 2, oil and gas prices were increased by 50 percent.  The impact on gains-from-trade is remarkable.  Decreases in coal prices for Scenario 3 and applying a uniform gas price in Scenario 4 have much less effect on overall gains-from-trade.  Generation fuel profile knowledge of the two regions, ERCOT and SPP, aids in explaining the results.</w:t>
      </w:r>
    </w:p>
    <w:p>
      <w:pPr>
        <w:pStyle w:val="BodyText"/>
        <w:rPr/>
      </w:pPr>
      <w:r>
        <w:rPr/>
      </w:r>
    </w:p>
    <w:p>
      <w:pPr>
        <w:pStyle w:val="BodyText"/>
        <w:rPr/>
      </w:pPr>
      <w:r>
        <w:rPr/>
        <w:t>In 1996, over 66 percent of ERCOT capacity was oil- or gas-fired, and less than 25 percent was coal-fired.  By contrast, almost 58 percent of the capacity in SPP was coal-fired, and less than 26 percent was oil- or gas-fired.  An increase in oil and gas prices would cause the cost of all oil- and gas-fired units to rise.  With a much greater exposure to oil and gas prices in ERCOT, it is not surprising that a surge in oil and gas prices would cause costs in ERCOT to soar.  The ability to import power from what would be the lower cost region of SPP in Scenario 2 is of great value under such a scenario.  Therefore gains-from-trade would be substantially higher in Scenario 2.  In Scenario 3, coal prices are reduced by 10 percent.  The bias in SPP toward coal-fired units would mean that price reductions for coal would reduce costs more in SPP than in ERCOT.  As in Scenario 2, this increases the value of access to lower cost power, and so gains-from-trade are greater.</w:t>
      </w:r>
    </w:p>
    <w:p>
      <w:pPr>
        <w:pStyle w:val="BodyText"/>
        <w:rPr/>
      </w:pPr>
      <w:r>
        <w:rPr/>
      </w:r>
    </w:p>
    <w:p>
      <w:pPr>
        <w:pStyle w:val="BodyText"/>
        <w:rPr/>
      </w:pPr>
      <w:r>
        <w:rPr/>
        <w:t>The effects of uniform gas prices in Scenario 4 are more difficult to explain.  In Scenario 4, gas prices were uniformly set across all areas in both regions.  The price level was slightly higher than the average price of gas in the system.  The effects on gains-from-trade are also modest.</w:t>
      </w:r>
    </w:p>
    <w:p>
      <w:pPr>
        <w:pStyle w:val="BodyText"/>
        <w:rPr/>
      </w:pPr>
      <w:r>
        <w:rPr/>
      </w:r>
    </w:p>
    <w:p>
      <w:pPr>
        <w:pStyle w:val="BodyText"/>
        <w:rPr/>
      </w:pPr>
      <w:r>
        <w:rPr/>
        <w:t>In projecting supplies available in 2003, new capacity was assumed to be combined cycle gas turbines.  These efficient plants were added in both regions, ERCOT and SPP.  As a result, cost profiles converge.  The capacity of ERCOT remains mostly gas-fired, with an increase in the percentage of capacity that is gas-fired from 66.2 percent in 1996 to 67.2 percent in 2003.  The addition of combined cycle gas turbine capacity has a much larger impact on SPP.  The percentage of capacity in SPP that is gas-fired increases from 15.9 percent to 30.5 percent.</w:t>
      </w:r>
    </w:p>
    <w:p>
      <w:pPr>
        <w:pStyle w:val="BodyText"/>
        <w:rPr/>
      </w:pPr>
      <w:r>
        <w:rPr/>
      </w:r>
    </w:p>
    <w:p>
      <w:pPr>
        <w:pStyle w:val="BodyText"/>
        <w:rPr/>
      </w:pPr>
      <w:r>
        <w:rPr/>
        <w:t>As costs between the ERCOT and SPP converge, the amount and value of trading decreases.  This is reflected in the reduced gains-from-trade.  In 1996, under the existing DC interconnection, 5,578,634 megawatt-hours of net energy flow over the ties.  With the proposed AC interconnection in 1996, the flow increases to 7,684,525 megawatt-hours.  For 2003, however, the energy flows are 711,613 megawatt-hours and 1,268,703 megawatt-hours for the DC and AC interconnections, respectively.</w:t>
      </w:r>
    </w:p>
    <w:p>
      <w:pPr>
        <w:pStyle w:val="BodyText"/>
        <w:rPr/>
      </w:pPr>
      <w:r>
        <w:rPr/>
      </w:r>
    </w:p>
    <w:p>
      <w:pPr>
        <w:pStyle w:val="Heading1"/>
        <w:numPr>
          <w:ilvl w:val="0"/>
          <w:numId w:val="2"/>
        </w:numPr>
        <w:ind w:hanging="0" w:start="0"/>
        <w:rPr/>
      </w:pPr>
      <w:r>
        <w:rPr/>
        <w:t>Conclusion</w:t>
      </w:r>
    </w:p>
    <w:p>
      <w:pPr>
        <w:pStyle w:val="BodyText"/>
        <w:rPr/>
      </w:pPr>
      <w:r>
        <w:rPr/>
      </w:r>
    </w:p>
    <w:p>
      <w:pPr>
        <w:pStyle w:val="BodyText"/>
        <w:rPr/>
      </w:pPr>
      <w:r>
        <w:rPr/>
        <w:t>This paper presents a study of the potential gains-from-trade of a large-scale synchronous interconnection between ERCOT and SPP.  Various scenarios were considered, including transmission limit, transmission tariff, and fuel sensitivity cases.  Results indicate that while significant gains may have been possible, the overall benefit diminishes significantly over time.</w:t>
      </w:r>
    </w:p>
    <w:p>
      <w:pPr>
        <w:pStyle w:val="Heading1"/>
        <w:numPr>
          <w:ilvl w:val="0"/>
          <w:numId w:val="2"/>
        </w:numPr>
        <w:ind w:hanging="0" w:start="0"/>
        <w:rPr/>
      </w:pPr>
      <w:r>
        <w:rPr/>
        <w:t>References</w:t>
      </w:r>
    </w:p>
    <w:p>
      <w:pPr>
        <w:pStyle w:val="References"/>
        <w:numPr>
          <w:ilvl w:val="0"/>
          <w:numId w:val="0"/>
        </w:numPr>
        <w:ind w:hanging="0" w:start="0"/>
        <w:rPr/>
      </w:pPr>
      <w:r>
        <w:rPr/>
      </w:r>
    </w:p>
    <w:p>
      <w:pPr>
        <w:pStyle w:val="References"/>
        <w:numPr>
          <w:ilvl w:val="0"/>
          <w:numId w:val="0"/>
        </w:numPr>
        <w:ind w:hanging="360" w:start="360" w:end="0"/>
        <w:jc w:val="both"/>
        <w:rPr/>
      </w:pPr>
      <w:r>
        <w:rPr/>
        <w:t>[</w:t>
      </w:r>
      <w:r>
        <w:rPr>
          <w:sz w:val="20"/>
        </w:rPr>
        <w:t>1]</w:t>
        <w:tab/>
        <w:t>Martin W. Lin, “A Model and Simulation of Competitive Electric Power Systems,” PhD Dissertation, The University of Texas at Austin, 1998.</w:t>
      </w:r>
    </w:p>
    <w:p>
      <w:pPr>
        <w:pStyle w:val="References"/>
        <w:numPr>
          <w:ilvl w:val="0"/>
          <w:numId w:val="0"/>
        </w:numPr>
        <w:ind w:hanging="360" w:start="360" w:end="0"/>
        <w:jc w:val="both"/>
        <w:rPr>
          <w:sz w:val="20"/>
        </w:rPr>
      </w:pPr>
      <w:r>
        <w:rPr>
          <w:sz w:val="20"/>
        </w:rPr>
      </w:r>
    </w:p>
    <w:p>
      <w:pPr>
        <w:pStyle w:val="References"/>
        <w:numPr>
          <w:ilvl w:val="0"/>
          <w:numId w:val="0"/>
        </w:numPr>
        <w:ind w:hanging="360" w:start="360" w:end="0"/>
        <w:jc w:val="both"/>
        <w:rPr/>
      </w:pPr>
      <w:r>
        <w:rPr>
          <w:sz w:val="20"/>
        </w:rPr>
        <w:t>[2]</w:t>
        <w:tab/>
        <w:t xml:space="preserve">William Avera, Martin L. Baughman, Mo-Shing Chen, John Allen Moore, and Mark W. Smith, “Feasibility Investigation for </w:t>
      </w:r>
      <w:r>
        <w:rPr>
          <w:sz w:val="18"/>
        </w:rPr>
        <w:t>AC</w:t>
      </w:r>
      <w:r>
        <w:rPr>
          <w:sz w:val="20"/>
        </w:rPr>
        <w:t xml:space="preserve"> Interconnection Between </w:t>
      </w:r>
      <w:r>
        <w:rPr>
          <w:sz w:val="18"/>
        </w:rPr>
        <w:t>ERCOT</w:t>
      </w:r>
      <w:r>
        <w:rPr>
          <w:sz w:val="20"/>
        </w:rPr>
        <w:t xml:space="preserve"> and </w:t>
      </w:r>
      <w:r>
        <w:rPr>
          <w:sz w:val="18"/>
        </w:rPr>
        <w:t>SPP</w:t>
      </w:r>
      <w:r>
        <w:rPr>
          <w:sz w:val="20"/>
        </w:rPr>
        <w:t>/</w:t>
      </w:r>
      <w:r>
        <w:rPr>
          <w:sz w:val="18"/>
        </w:rPr>
        <w:t>SERC</w:t>
      </w:r>
      <w:r>
        <w:rPr>
          <w:sz w:val="20"/>
        </w:rPr>
        <w:t>,” Report of the Synchronous Interconnection Committee to the 76</w:t>
      </w:r>
      <w:r>
        <w:rPr>
          <w:sz w:val="20"/>
          <w:vertAlign w:val="superscript"/>
        </w:rPr>
        <w:t>th</w:t>
      </w:r>
      <w:r>
        <w:rPr>
          <w:sz w:val="20"/>
        </w:rPr>
        <w:t xml:space="preserve"> Texas Legislature.  Record of activities and submitted documents publicly available from the Public Utility Commission of Texas under Project 14894.  Electronic information available. www.puc.state.tx.us/projects/pj-14894.htm.</w:t>
      </w:r>
    </w:p>
    <w:p>
      <w:pPr>
        <w:pStyle w:val="References"/>
        <w:numPr>
          <w:ilvl w:val="0"/>
          <w:numId w:val="0"/>
        </w:numPr>
        <w:ind w:hanging="360" w:start="360" w:end="0"/>
        <w:jc w:val="both"/>
        <w:rPr>
          <w:sz w:val="20"/>
        </w:rPr>
      </w:pPr>
      <w:r>
        <w:rPr>
          <w:sz w:val="20"/>
        </w:rPr>
      </w:r>
    </w:p>
    <w:p>
      <w:pPr>
        <w:pStyle w:val="References"/>
        <w:numPr>
          <w:ilvl w:val="0"/>
          <w:numId w:val="0"/>
        </w:numPr>
        <w:ind w:hanging="360" w:start="360" w:end="0"/>
        <w:jc w:val="both"/>
        <w:rPr>
          <w:sz w:val="20"/>
        </w:rPr>
      </w:pPr>
      <w:r>
        <w:rPr>
          <w:sz w:val="20"/>
        </w:rPr>
        <w:t>[3]</w:t>
        <w:tab/>
        <w:t>Mark Allan Maddux, “Incremental Intermarket Energy Transmission Tariffs Between ERCOT and SPP,” Thesis, Master of Science in Engineering, The University of Texas at Austin, December 1997.</w:t>
      </w:r>
    </w:p>
    <w:p>
      <w:pPr>
        <w:pStyle w:val="References"/>
        <w:numPr>
          <w:ilvl w:val="0"/>
          <w:numId w:val="0"/>
        </w:numPr>
        <w:ind w:hanging="360" w:start="360" w:end="0"/>
        <w:jc w:val="both"/>
        <w:rPr>
          <w:sz w:val="20"/>
        </w:rPr>
      </w:pPr>
      <w:r>
        <w:rPr>
          <w:sz w:val="20"/>
        </w:rPr>
      </w:r>
    </w:p>
    <w:p>
      <w:pPr>
        <w:pStyle w:val="References"/>
        <w:numPr>
          <w:ilvl w:val="0"/>
          <w:numId w:val="0"/>
        </w:numPr>
        <w:ind w:hanging="360" w:start="360" w:end="0"/>
        <w:jc w:val="both"/>
        <w:rPr>
          <w:sz w:val="20"/>
        </w:rPr>
      </w:pPr>
      <w:r>
        <w:rPr>
          <w:sz w:val="20"/>
        </w:rPr>
        <w:t>[4]</w:t>
        <w:tab/>
        <w:t xml:space="preserve">ERCOT world wide web site, http://www.ercot.com. </w:t>
      </w:r>
    </w:p>
    <w:p>
      <w:pPr>
        <w:pStyle w:val="References"/>
        <w:numPr>
          <w:ilvl w:val="0"/>
          <w:numId w:val="0"/>
        </w:numPr>
        <w:ind w:hanging="360" w:start="360" w:end="0"/>
        <w:jc w:val="both"/>
        <w:rPr>
          <w:sz w:val="20"/>
        </w:rPr>
      </w:pPr>
      <w:r>
        <w:rPr>
          <w:sz w:val="20"/>
        </w:rPr>
      </w:r>
    </w:p>
    <w:p>
      <w:pPr>
        <w:pStyle w:val="References"/>
        <w:numPr>
          <w:ilvl w:val="0"/>
          <w:numId w:val="0"/>
        </w:numPr>
        <w:ind w:hanging="360" w:start="360" w:end="0"/>
        <w:jc w:val="both"/>
        <w:rPr>
          <w:sz w:val="20"/>
        </w:rPr>
      </w:pPr>
      <w:r>
        <w:rPr>
          <w:sz w:val="20"/>
        </w:rPr>
        <w:t>[5]</w:t>
        <w:tab/>
        <w:t>Substantive Rules of the Public Utility Commission of Texas, Rule 23.67, Public Utility Commission of Texas, Austin, Texas.  Current rules available through http://www.puc.state.tx.us.</w:t>
      </w:r>
    </w:p>
    <w:p>
      <w:pPr>
        <w:pStyle w:val="Normal"/>
        <w:rPr>
          <w:sz w:val="20"/>
        </w:rPr>
      </w:pPr>
      <w:r>
        <w:rPr>
          <w:sz w:val="20"/>
        </w:rPr>
      </w:r>
    </w:p>
    <w:p>
      <w:pPr>
        <w:pStyle w:val="Normal"/>
        <w:jc w:val="both"/>
        <w:rPr/>
      </w:pPr>
      <w:r>
        <w:rPr>
          <w:b/>
        </w:rPr>
        <w:t>Martin W. Lin</w:t>
      </w:r>
      <w:r>
        <w:rPr/>
        <w:t xml:space="preserve"> received his BS in Electrical Engineering from the California Institute of Technology in 1993 and his MSE and PhD degrees in electrical and computer engineering from The University of Texas at Austin in 1994 and 1998, respectively.  He is currently with Enron Corporation in Houston, Texas.</w:t>
      </w:r>
    </w:p>
    <w:p>
      <w:pPr>
        <w:pStyle w:val="Normal"/>
        <w:rPr/>
      </w:pPr>
      <w:r>
        <w:rPr/>
      </w:r>
    </w:p>
    <w:p>
      <w:pPr>
        <w:pStyle w:val="Normal"/>
        <w:jc w:val="both"/>
        <w:rPr/>
      </w:pPr>
      <w:r>
        <w:rPr>
          <w:b/>
          <w:color w:val="000000"/>
        </w:rPr>
        <w:t>Ross Baldick</w:t>
      </w:r>
      <w:r>
        <w:rPr>
          <w:color w:val="000000"/>
        </w:rPr>
        <w:t xml:space="preserve">  received his B.Sc. and B.E. from the University of Sydney, Australia and his M.S. and Ph.D. from the University of California, Berkeley.  He is currently an Associate Professor in the Department of Electrical and Computer Engineering at the University of Texas at Austin.</w:t>
      </w:r>
    </w:p>
    <w:p>
      <w:pPr>
        <w:pStyle w:val="FootnoteText"/>
        <w:rPr>
          <w:color w:val="000000"/>
        </w:rPr>
      </w:pPr>
      <w:r>
        <w:rPr>
          <w:color w:val="000000"/>
        </w:rPr>
      </w:r>
    </w:p>
    <w:p>
      <w:pPr>
        <w:pStyle w:val="Normal"/>
        <w:jc w:val="both"/>
        <w:rPr/>
      </w:pPr>
      <w:r>
        <w:rPr>
          <w:b/>
          <w:color w:val="000000"/>
        </w:rPr>
        <w:t>Martin L. Baughman</w:t>
      </w:r>
      <w:r>
        <w:rPr>
          <w:color w:val="000000"/>
        </w:rPr>
        <w:t xml:space="preserve"> (F, 00) received his BS in Electrical Engineering from Ohio Northern University in 1968 and his MSEE and Ph.D. degrees in electrical engineering at MIT in 1970 and 1972, respectively. Dr. Baughman is a member of the International Association of Economists and is a registered Professional Engineer in the State of Texas.  He is currently a Professor in the Department of Electrical and Computer Engineering at the University of Texas at Austin.</w:t>
      </w:r>
    </w:p>
    <w:p>
      <w:pPr>
        <w:pStyle w:val="Normal"/>
        <w:rPr>
          <w:color w:val="000000"/>
        </w:rPr>
      </w:pPr>
      <w:r>
        <w:rPr>
          <w:color w:val="000000"/>
        </w:rPr>
      </w:r>
    </w:p>
    <w:p>
      <w:pPr>
        <w:pStyle w:val="Normal"/>
        <w:rPr>
          <w:color w:val="000000"/>
        </w:rPr>
      </w:pPr>
      <w:r>
        <w:rPr>
          <w:b/>
          <w:color w:val="000000"/>
        </w:rPr>
        <w:t>Acknowledgement</w:t>
      </w:r>
    </w:p>
    <w:p>
      <w:pPr>
        <w:pStyle w:val="Normal"/>
        <w:rPr>
          <w:color w:val="000000"/>
        </w:rPr>
      </w:pPr>
      <w:r>
        <w:rPr>
          <w:color w:val="000000"/>
        </w:rPr>
      </w:r>
    </w:p>
    <w:p>
      <w:pPr>
        <w:pStyle w:val="BodyText2"/>
        <w:rPr/>
      </w:pPr>
      <w:r>
        <w:rPr/>
        <w:t>This work was funded in part by the National Science Foundation under grant ECS-9457133.</w:t>
      </w:r>
    </w:p>
    <w:p>
      <w:pPr>
        <w:pStyle w:val="Normal"/>
        <w:rPr/>
      </w:pPr>
      <w:r>
        <w:rPr/>
      </w:r>
    </w:p>
    <w:sectPr>
      <w:footnotePr>
        <w:numFmt w:val="decimal"/>
      </w:footnotePr>
      <w:type w:val="nextPage"/>
      <w:pgSz w:w="12240" w:h="15840"/>
      <w:pgMar w:left="864" w:right="864" w:gutter="144" w:header="0" w:top="1008" w:footer="0" w:bottom="1008"/>
      <w:pgNumType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pPr>
      <w:r>
        <w:rPr>
          <w:rStyle w:val="FootnoteCharacters"/>
        </w:rPr>
        <w:t></w:t>
      </w:r>
      <w:r>
        <w:rPr/>
      </w:r>
    </w:p>
    <w:p>
      <w:pPr>
        <w:pStyle w:val="Normal"/>
        <w:rPr/>
      </w:pPr>
      <w:r>
        <w:rPr/>
      </w:r>
    </w:p>
    <w:p>
      <w:pPr>
        <w:pStyle w:val="Normal"/>
        <w:rPr/>
      </w:pPr>
      <w:r>
        <w:rPr/>
      </w:r>
    </w:p>
    <w:p>
      <w:pPr>
        <w:pStyle w:val="Normal"/>
        <w:rPr/>
      </w:pPr>
      <w:r>
        <w:rPr/>
      </w:r>
    </w:p>
    <w:p>
      <w:pPr>
        <w:pStyle w:val="Normal"/>
        <w:rPr/>
      </w:pPr>
      <w:r>
        <w:rPr/>
      </w:r>
    </w:p>
    <w:p>
      <w:pPr>
        <w:pStyle w:val="Normal"/>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144"/>
        </w:tabs>
        <w:ind w:start="0" w:hanging="0"/>
      </w:pPr>
    </w:lvl>
    <w:lvl w:ilvl="1">
      <w:start w:val="1"/>
      <w:numFmt w:val="upperLetter"/>
      <w:lvlText w:val="%2."/>
      <w:lvlJc w:val="start"/>
      <w:pPr>
        <w:tabs>
          <w:tab w:val="num" w:pos="144"/>
        </w:tabs>
        <w:ind w:start="0" w:hanging="0"/>
      </w:pPr>
    </w:lvl>
    <w:lvl w:ilvl="2">
      <w:start w:val="1"/>
      <w:numFmt w:val="decimal"/>
      <w:lvlText w:val="%3)"/>
      <w:lvlJc w:val="start"/>
      <w:pPr>
        <w:tabs>
          <w:tab w:val="num" w:pos="144"/>
        </w:tabs>
        <w:ind w:start="0" w:hanging="0"/>
      </w:pPr>
    </w:lvl>
    <w:lvl w:ilvl="3">
      <w:start w:val="1"/>
      <w:numFmt w:val="lowerLetter"/>
      <w:lvlText w:val="%4)"/>
      <w:lvlJc w:val="start"/>
      <w:pPr>
        <w:tabs>
          <w:tab w:val="num" w:pos="720"/>
        </w:tabs>
        <w:ind w:start="1152" w:hanging="720"/>
      </w:pPr>
    </w:lvl>
    <w:lvl w:ilvl="4">
      <w:start w:val="1"/>
      <w:numFmt w:val="decimal"/>
      <w:lvlText w:val="(%5)"/>
      <w:lvlJc w:val="start"/>
      <w:pPr>
        <w:tabs>
          <w:tab w:val="num" w:pos="720"/>
        </w:tabs>
        <w:ind w:start="1872" w:hanging="720"/>
      </w:pPr>
    </w:lvl>
    <w:lvl w:ilvl="5">
      <w:start w:val="1"/>
      <w:numFmt w:val="lowerLetter"/>
      <w:lvlText w:val="(%6)"/>
      <w:lvlJc w:val="start"/>
      <w:pPr>
        <w:tabs>
          <w:tab w:val="num" w:pos="720"/>
        </w:tabs>
        <w:ind w:start="2592" w:hanging="720"/>
      </w:pPr>
    </w:lvl>
    <w:lvl w:ilvl="6">
      <w:start w:val="1"/>
      <w:numFmt w:val="lowerRoman"/>
      <w:lvlText w:val="(%7)"/>
      <w:lvlJc w:val="start"/>
      <w:pPr>
        <w:tabs>
          <w:tab w:val="num" w:pos="720"/>
        </w:tabs>
        <w:ind w:start="3312" w:hanging="720"/>
      </w:pPr>
    </w:lvl>
    <w:lvl w:ilvl="7">
      <w:start w:val="1"/>
      <w:numFmt w:val="lowerLetter"/>
      <w:lvlText w:val="(%8)"/>
      <w:lvlJc w:val="start"/>
      <w:pPr>
        <w:tabs>
          <w:tab w:val="num" w:pos="720"/>
        </w:tabs>
        <w:ind w:start="4032" w:hanging="720"/>
      </w:pPr>
    </w:lvl>
    <w:lvl w:ilvl="8">
      <w:start w:val="1"/>
      <w:numFmt w:val="lowerRoman"/>
      <w:lvlText w:val="(%9)"/>
      <w:lvlJc w:val="start"/>
      <w:pPr>
        <w:tabs>
          <w:tab w:val="num" w:pos="720"/>
        </w:tabs>
        <w:ind w:start="4752" w:hanging="720"/>
      </w:pPr>
    </w:lvl>
  </w:abstractNum>
  <w:abstractNum w:abstractNumId="3">
    <w:lvl w:ilvl="0">
      <w:start w:val="1"/>
      <w:numFmt w:val="bullet"/>
      <w:lvlText w:val=""/>
      <w:lvlJc w:val="start"/>
      <w:pPr>
        <w:tabs>
          <w:tab w:val="num" w:pos="720"/>
        </w:tabs>
        <w:ind w:start="360" w:hanging="360"/>
      </w:pPr>
      <w:rPr>
        <w:rFonts w:ascii="Symbol" w:hAnsi="Symbol" w:cs="Symbol" w:hint="default"/>
      </w:rPr>
    </w:lvl>
  </w:abstractNum>
  <w:abstractNum w:abstractNumId="4">
    <w:lvl w:ilvl="0">
      <w:start w:val="1"/>
      <w:numFmt w:val="bullet"/>
      <w:lvlText w:val=""/>
      <w:lvlJc w:val="start"/>
      <w:pPr>
        <w:tabs>
          <w:tab w:val="num" w:pos="72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2"/>
      </w:numPr>
      <w:spacing w:before="240" w:after="80"/>
      <w:jc w:val="center"/>
      <w:outlineLvl w:val="0"/>
    </w:pPr>
    <w:rPr>
      <w:smallCaps/>
      <w:kern w:val="2"/>
    </w:rPr>
  </w:style>
  <w:style w:type="paragraph" w:styleId="Heading2">
    <w:name w:val="heading 2"/>
    <w:basedOn w:val="Normal"/>
    <w:next w:val="Normal"/>
    <w:qFormat/>
    <w:pPr>
      <w:keepNext w:val="true"/>
      <w:numPr>
        <w:ilvl w:val="0"/>
        <w:numId w:val="2"/>
      </w:numPr>
      <w:spacing w:before="240" w:after="60"/>
      <w:ind w:hanging="0" w:start="144" w:end="0"/>
      <w:outlineLvl w:val="1"/>
    </w:pPr>
    <w:rPr>
      <w:i/>
    </w:rPr>
  </w:style>
  <w:style w:type="paragraph" w:styleId="Heading3">
    <w:name w:val="heading 3"/>
    <w:basedOn w:val="Normal"/>
    <w:next w:val="Normal"/>
    <w:qFormat/>
    <w:pPr>
      <w:keepNext w:val="true"/>
      <w:numPr>
        <w:ilvl w:val="0"/>
        <w:numId w:val="2"/>
      </w:numPr>
      <w:ind w:hanging="0" w:start="288" w:end="0"/>
      <w:outlineLvl w:val="2"/>
    </w:pPr>
    <w:rPr>
      <w:i/>
    </w:rPr>
  </w:style>
  <w:style w:type="paragraph" w:styleId="Heading4">
    <w:name w:val="heading 4"/>
    <w:basedOn w:val="Normal"/>
    <w:next w:val="Normal"/>
    <w:qFormat/>
    <w:pPr>
      <w:keepNext w:val="true"/>
      <w:numPr>
        <w:ilvl w:val="0"/>
        <w:numId w:val="2"/>
      </w:numPr>
      <w:spacing w:before="240" w:after="60"/>
      <w:outlineLvl w:val="3"/>
    </w:pPr>
    <w:rPr>
      <w:rFonts w:ascii="Arial" w:hAnsi="Arial" w:cs="Arial"/>
      <w:b/>
      <w:sz w:val="24"/>
    </w:rPr>
  </w:style>
  <w:style w:type="paragraph" w:styleId="Heading5">
    <w:name w:val="heading 5"/>
    <w:basedOn w:val="Normal"/>
    <w:next w:val="Normal"/>
    <w:qFormat/>
    <w:pPr>
      <w:numPr>
        <w:ilvl w:val="0"/>
        <w:numId w:val="2"/>
      </w:numPr>
      <w:spacing w:before="240" w:after="60"/>
      <w:outlineLvl w:val="4"/>
    </w:pPr>
    <w:rPr>
      <w:rFonts w:ascii="Arial" w:hAnsi="Arial" w:cs="Arial"/>
      <w:sz w:val="22"/>
    </w:rPr>
  </w:style>
  <w:style w:type="paragraph" w:styleId="Heading6">
    <w:name w:val="heading 6"/>
    <w:basedOn w:val="Normal"/>
    <w:next w:val="Normal"/>
    <w:qFormat/>
    <w:pPr>
      <w:numPr>
        <w:ilvl w:val="0"/>
        <w:numId w:val="2"/>
      </w:numPr>
      <w:spacing w:before="240" w:after="60"/>
      <w:outlineLvl w:val="5"/>
    </w:pPr>
    <w:rPr>
      <w:i/>
      <w:sz w:val="22"/>
    </w:rPr>
  </w:style>
  <w:style w:type="paragraph" w:styleId="Heading7">
    <w:name w:val="heading 7"/>
    <w:basedOn w:val="Normal"/>
    <w:next w:val="Normal"/>
    <w:qFormat/>
    <w:pPr>
      <w:numPr>
        <w:ilvl w:val="0"/>
        <w:numId w:val="2"/>
      </w:numPr>
      <w:spacing w:before="240" w:after="60"/>
      <w:outlineLvl w:val="6"/>
    </w:pPr>
    <w:rPr>
      <w:rFonts w:ascii="Arial" w:hAnsi="Arial" w:cs="Arial"/>
    </w:rPr>
  </w:style>
  <w:style w:type="paragraph" w:styleId="Heading8">
    <w:name w:val="heading 8"/>
    <w:basedOn w:val="Normal"/>
    <w:next w:val="Normal"/>
    <w:qFormat/>
    <w:pPr>
      <w:numPr>
        <w:ilvl w:val="0"/>
        <w:numId w:val="2"/>
      </w:numPr>
      <w:spacing w:before="240" w:after="60"/>
      <w:outlineLvl w:val="7"/>
    </w:pPr>
    <w:rPr>
      <w:rFonts w:ascii="Arial" w:hAnsi="Arial" w:cs="Arial"/>
      <w:i/>
    </w:rPr>
  </w:style>
  <w:style w:type="paragraph" w:styleId="Heading9">
    <w:name w:val="heading 9"/>
    <w:basedOn w:val="Normal"/>
    <w:next w:val="Normal"/>
    <w:qFormat/>
    <w:pPr>
      <w:numPr>
        <w:ilvl w:val="0"/>
        <w:numId w:val="2"/>
      </w:numPr>
      <w:spacing w:before="240" w:after="60"/>
      <w:outlineLvl w:val="8"/>
    </w:pPr>
    <w:rPr>
      <w:rFonts w:ascii="Arial" w:hAnsi="Arial" w:cs="Arial"/>
      <w:b/>
      <w:i/>
      <w:sz w:val="18"/>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5z0">
    <w:name w:val="WW8Num15z0"/>
    <w:qFormat/>
    <w:rPr>
      <w:rFonts w:ascii="Symbol" w:hAnsi="Symbol" w:cs="Symbol"/>
    </w:rPr>
  </w:style>
  <w:style w:type="character" w:styleId="DefaultParagraphFont">
    <w:name w:val="Default Paragraph Font"/>
    <w:qFormat/>
    <w:rPr/>
  </w:style>
  <w:style w:type="character" w:styleId="MemberType">
    <w:name w:val="MemberType"/>
    <w:basedOn w:val="DefaultParagraphFont"/>
    <w:qFormat/>
    <w:rPr>
      <w:rFonts w:ascii="Times New Roman" w:hAnsi="Times New Roman" w:cs="Times New Roman"/>
      <w:i/>
      <w:sz w:val="22"/>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Normal"/>
    <w:qFormat/>
    <w:pPr>
      <w:jc w:val="center"/>
    </w:pPr>
    <w:rPr>
      <w:kern w:val="2"/>
      <w:sz w:val="4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bstract">
    <w:name w:val="Abstract"/>
    <w:basedOn w:val="Normal"/>
    <w:next w:val="Normal"/>
    <w:qFormat/>
    <w:pPr>
      <w:spacing w:before="20" w:after="0"/>
    </w:pPr>
    <w:rPr>
      <w:b/>
      <w:sz w:val="18"/>
    </w:rPr>
  </w:style>
  <w:style w:type="paragraph" w:styleId="Authors">
    <w:name w:val="Authors"/>
    <w:basedOn w:val="Normal"/>
    <w:next w:val="Normal"/>
    <w:qFormat/>
    <w:pPr>
      <w:spacing w:before="0" w:after="320"/>
      <w:jc w:val="center"/>
    </w:pPr>
    <w:rPr>
      <w:sz w:val="22"/>
    </w:rPr>
  </w:style>
  <w:style w:type="paragraph" w:styleId="FootnoteText">
    <w:name w:val="footnote text"/>
    <w:basedOn w:val="Normal"/>
    <w:pPr/>
    <w:rPr/>
  </w:style>
  <w:style w:type="paragraph" w:styleId="ListNumber">
    <w:name w:val="List Number"/>
    <w:basedOn w:val="Normal"/>
    <w:qFormat/>
    <w:pPr>
      <w:numPr>
        <w:ilvl w:val="0"/>
        <w:numId w:val="5"/>
      </w:numPr>
      <w:ind w:hanging="360" w:start="360" w:end="0"/>
    </w:pPr>
    <w:rPr/>
  </w:style>
  <w:style w:type="paragraph" w:styleId="References">
    <w:name w:val="References"/>
    <w:basedOn w:val="ListNumber"/>
    <w:qFormat/>
    <w:pPr>
      <w:numPr>
        <w:ilvl w:val="0"/>
        <w:numId w:val="6"/>
      </w:numPr>
    </w:pPr>
    <w:rPr>
      <w:sz w:val="16"/>
    </w:rPr>
  </w:style>
  <w:style w:type="paragraph" w:styleId="IndexTerms">
    <w:name w:val="IndexTerms"/>
    <w:basedOn w:val="Normal"/>
    <w:next w:val="Normal"/>
    <w:qFormat/>
    <w:pPr/>
    <w:rPr>
      <w:b/>
      <w:sz w:val="18"/>
    </w:rPr>
  </w:style>
  <w:style w:type="paragraph" w:styleId="Theorem">
    <w:name w:val="Theorem"/>
    <w:basedOn w:val="Heading3"/>
    <w:qFormat/>
    <w:pPr>
      <w:numPr>
        <w:ilvl w:val="0"/>
        <w:numId w:val="7"/>
      </w:numPr>
      <w:outlineLvl w:val="9"/>
    </w:pPr>
    <w:rPr/>
  </w:style>
  <w:style w:type="paragraph" w:styleId="Lemma">
    <w:name w:val="Lemma"/>
    <w:basedOn w:val="Heading3"/>
    <w:qFormat/>
    <w:pPr>
      <w:numPr>
        <w:ilvl w:val="0"/>
        <w:numId w:val="8"/>
      </w:numPr>
      <w:outlineLvl w:val="9"/>
    </w:pPr>
    <w:rPr/>
  </w:style>
  <w:style w:type="paragraph" w:styleId="PlainText">
    <w:name w:val="Plain Text"/>
    <w:basedOn w:val="Normal"/>
    <w:qFormat/>
    <w:pPr/>
    <w:rPr>
      <w:rFonts w:ascii="Courier New" w:hAnsi="Courier New" w:eastAsia="TIMES" w:cs="Courier New"/>
    </w:rPr>
  </w:style>
  <w:style w:type="paragraph" w:styleId="BodyText2">
    <w:name w:val="Body Text 2"/>
    <w:basedOn w:val="Normal"/>
    <w:qFormat/>
    <w:pPr>
      <w:jc w:val="both"/>
    </w:pPr>
    <w:rPr>
      <w:color w:val="00000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package" Target="embeddings/oleObject1.xlsx"/><Relationship Id="rId4" Type="http://schemas.openxmlformats.org/officeDocument/2006/relationships/image" Target="media/image2.wmf"/><Relationship Id="rId5" Type="http://schemas.openxmlformats.org/officeDocument/2006/relationships/package" Target="embeddings/oleObject2.xlsx"/><Relationship Id="rId6" Type="http://schemas.openxmlformats.org/officeDocument/2006/relationships/image" Target="media/image3.wmf"/><Relationship Id="rId7" Type="http://schemas.openxmlformats.org/officeDocument/2006/relationships/image" Target="media/image4.wmf"/><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0128.dot</Template>
  <TotalTime>178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2001-03-04T20:21:00Z</dcterms:created>
  <dc:creator>Periodicals</dc:creator>
  <dc:description/>
  <dc:language>en-CA</dc:language>
  <cp:lastModifiedBy>Martin Lin</cp:lastModifiedBy>
  <cp:lastPrinted>2000-09-25T16:43:00Z</cp:lastPrinted>
  <dcterms:modified xsi:type="dcterms:W3CDTF">2001-04-02T14:26:00Z</dcterms:modified>
  <cp:revision>13</cp:revision>
  <dc:subject/>
  <dc:title>  </dc:title>
</cp:coreProperties>
</file>