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top w:val="single" w:sz="24" w:space="0" w:color="000000"/>
              <w:start w:val="single" w:sz="24" w:space="0" w:color="000000"/>
              <w:bottom w:val="single" w:sz="24" w:space="0" w:color="000000"/>
              <w:end w:val="single" w:sz="24" w:space="0" w:color="000000"/>
            </w:tcBorders>
            <w:shd w:fill="E5E5E5" w:val="clear"/>
          </w:tcPr>
          <w:p>
            <w:pPr>
              <w:pStyle w:val="Normal"/>
              <w:suppressAutoHyphens w:val="false"/>
              <w:spacing w:before="160" w:after="160"/>
              <w:jc w:val="center"/>
              <w:rPr>
                <w:rFonts w:ascii="Arial" w:hAnsi="Arial" w:cs="Arial"/>
              </w:rPr>
            </w:pPr>
            <w:r>
              <w:rPr>
                <w:rFonts w:cs="Arial" w:ascii="Arial" w:hAnsi="Arial"/>
                <w:b/>
              </w:rPr>
              <w:t>PRELIMINARY DRAFT</w:t>
            </w:r>
            <w:r>
              <w:rPr>
                <w:rFonts w:cs="Arial" w:ascii="Arial" w:hAnsi="Arial"/>
              </w:rPr>
              <w:t xml:space="preserve"> -- </w:t>
            </w:r>
            <w:r>
              <w:rPr>
                <w:rFonts w:cs="Arial" w:ascii="Arial" w:hAnsi="Arial"/>
                <w:i/>
              </w:rPr>
              <w:t>FOR REVIEW AND DISCUSSION</w:t>
            </w:r>
            <w:r>
              <w:rPr>
                <w:rFonts w:cs="Arial" w:ascii="Arial" w:hAnsi="Arial"/>
              </w:rPr>
              <w:t xml:space="preserve"> -- </w:t>
            </w:r>
            <w:r>
              <w:rPr>
                <w:rFonts w:cs="Arial" w:ascii="Arial" w:hAnsi="Arial"/>
                <w:b/>
              </w:rPr>
              <w:fldChar w:fldCharType="begin"/>
            </w:r>
            <w:r>
              <w:rPr>
                <w:b/>
                <w:rFonts w:cs="Arial" w:ascii="Arial" w:hAnsi="Arial"/>
              </w:rPr>
              <w:instrText xml:space="preserve"> DATE \@"M\/d\/yy" </w:instrText>
            </w:r>
            <w:r>
              <w:rPr>
                <w:b/>
                <w:rFonts w:cs="Arial" w:ascii="Arial" w:hAnsi="Arial"/>
              </w:rPr>
              <w:fldChar w:fldCharType="separate"/>
            </w:r>
            <w:r>
              <w:rPr>
                <w:b/>
                <w:rFonts w:cs="Arial" w:ascii="Arial" w:hAnsi="Arial"/>
              </w:rPr>
              <w:t>9/28/25</w:t>
            </w:r>
            <w:r>
              <w:rPr>
                <w:b/>
                <w:rFonts w:cs="Arial" w:ascii="Arial" w:hAnsi="Arial"/>
              </w:rPr>
              <w:fldChar w:fldCharType="end"/>
            </w:r>
            <w:r>
              <w:rPr>
                <w:rFonts w:cs="Arial" w:ascii="Arial" w:hAnsi="Arial"/>
                <w:b/>
              </w:rPr>
              <w:t xml:space="preserve"> -- </w:t>
            </w:r>
            <w:r>
              <w:rPr>
                <w:rFonts w:cs="Arial" w:ascii="Arial" w:hAnsi="Arial"/>
                <w:b/>
              </w:rPr>
              <w:fldChar w:fldCharType="begin"/>
            </w:r>
            <w:r>
              <w:rPr>
                <w:b/>
                <w:rFonts w:cs="Arial" w:ascii="Arial" w:hAnsi="Arial"/>
              </w:rPr>
              <w:instrText xml:space="preserve"> TIME \@"H:mm\ AM/PM" </w:instrText>
            </w:r>
            <w:r>
              <w:rPr>
                <w:b/>
                <w:rFonts w:cs="Arial" w:ascii="Arial" w:hAnsi="Arial"/>
              </w:rPr>
              <w:fldChar w:fldCharType="separate"/>
            </w:r>
            <w:r>
              <w:rPr>
                <w:b/>
                <w:rFonts w:cs="Arial" w:ascii="Arial" w:hAnsi="Arial"/>
              </w:rPr>
              <w:t>9:13 AM</w:t>
            </w:r>
            <w:r>
              <w:rPr>
                <w:b/>
                <w:rFonts w:cs="Arial" w:ascii="Arial" w:hAnsi="Arial"/>
              </w:rPr>
              <w:fldChar w:fldCharType="end"/>
            </w:r>
          </w:p>
        </w:tc>
      </w:tr>
    </w:tbl>
    <w:p>
      <w:pPr>
        <w:pStyle w:val="Normal"/>
        <w:jc w:val="center"/>
        <w:rPr/>
      </w:pPr>
      <w:r>
        <w:rPr/>
      </w:r>
    </w:p>
    <w:p>
      <w:pPr>
        <w:pStyle w:val="Normal"/>
        <w:ind w:start="4680" w:end="0"/>
        <w:rPr/>
      </w:pPr>
      <w:r>
        <w:rPr/>
        <w:t xml:space="preserve">IN THE CIRCUIT COURT OF THE SEVENTEENTH JUDICIAL CIRCUIT IN AND FOR BROWARD COUNTY, FLORIDA </w:t>
      </w:r>
    </w:p>
    <w:p>
      <w:pPr>
        <w:pStyle w:val="Normal"/>
        <w:ind w:start="4680" w:end="0"/>
        <w:rPr/>
      </w:pPr>
      <w:r>
        <w:rPr/>
      </w:r>
    </w:p>
    <w:p>
      <w:pPr>
        <w:pStyle w:val="Normal"/>
        <w:ind w:start="4680" w:end="0"/>
        <w:rPr/>
      </w:pPr>
      <w:r>
        <w:rPr/>
        <w:t>CASE NO. 01-012055 (02) (Judge Stafford)</w:t>
      </w:r>
    </w:p>
    <w:p>
      <w:pPr>
        <w:pStyle w:val="Normal"/>
        <w:rPr/>
      </w:pPr>
      <w:r>
        <w:rPr/>
      </w:r>
    </w:p>
    <w:p>
      <w:pPr>
        <w:pStyle w:val="Normal"/>
        <w:rPr/>
      </w:pPr>
      <w:r>
        <w:rPr/>
      </w:r>
    </w:p>
    <w:p>
      <w:pPr>
        <w:pStyle w:val="Normal"/>
        <w:rPr/>
      </w:pPr>
      <w:r>
        <w:rPr/>
      </w:r>
    </w:p>
    <w:tbl>
      <w:tblPr>
        <w:tblW w:w="9216" w:type="dxa"/>
        <w:jc w:val="start"/>
        <w:tblInd w:w="0" w:type="dxa"/>
        <w:tblLayout w:type="fixed"/>
        <w:tblCellMar>
          <w:top w:w="0" w:type="dxa"/>
          <w:start w:w="108" w:type="dxa"/>
          <w:bottom w:w="0" w:type="dxa"/>
          <w:end w:w="108" w:type="dxa"/>
        </w:tblCellMar>
      </w:tblPr>
      <w:tblGrid>
        <w:gridCol w:w="4878"/>
        <w:gridCol w:w="4338"/>
      </w:tblGrid>
      <w:tr>
        <w:trPr/>
        <w:tc>
          <w:tcPr>
            <w:tcW w:w="4878" w:type="dxa"/>
            <w:tcBorders>
              <w:bottom w:val="single" w:sz="6" w:space="0" w:color="000000"/>
              <w:end w:val="single" w:sz="4" w:space="0" w:color="000000"/>
            </w:tcBorders>
          </w:tcPr>
          <w:p>
            <w:pPr>
              <w:pStyle w:val="Normal"/>
              <w:rPr/>
            </w:pPr>
            <w:r>
              <w:rPr>
                <w:bCs/>
              </w:rPr>
              <w:t>CITY OF COCONUT CREEK, a Florida municipal corporation,</w:t>
            </w:r>
            <w:r>
              <w:rPr/>
              <w:t xml:space="preserve"> </w:t>
            </w:r>
          </w:p>
          <w:p>
            <w:pPr>
              <w:pStyle w:val="Normal"/>
              <w:rPr/>
            </w:pPr>
            <w:r>
              <w:rPr/>
            </w:r>
          </w:p>
          <w:p>
            <w:pPr>
              <w:pStyle w:val="Normal"/>
              <w:rPr/>
            </w:pPr>
            <w:r>
              <w:rPr/>
              <w:tab/>
              <w:t>Plaintiff,</w:t>
            </w:r>
          </w:p>
          <w:p>
            <w:pPr>
              <w:pStyle w:val="Normal"/>
              <w:rPr/>
            </w:pPr>
            <w:r>
              <w:rPr/>
            </w:r>
          </w:p>
          <w:p>
            <w:pPr>
              <w:pStyle w:val="Normal"/>
              <w:rPr/>
            </w:pPr>
            <w:r>
              <w:rPr/>
              <w:t>v.</w:t>
            </w:r>
          </w:p>
          <w:p>
            <w:pPr>
              <w:pStyle w:val="Normal"/>
              <w:rPr/>
            </w:pPr>
            <w:r>
              <w:rPr/>
            </w:r>
          </w:p>
          <w:p>
            <w:pPr>
              <w:pStyle w:val="Normal"/>
              <w:rPr/>
            </w:pPr>
            <w:r>
              <w:rPr>
                <w:bCs/>
              </w:rPr>
              <w:t>CITY OF DEERFIELD BEACH, a Florida municipal corporation</w:t>
            </w:r>
            <w:r>
              <w:rPr/>
              <w:t>,</w:t>
            </w:r>
          </w:p>
          <w:p>
            <w:pPr>
              <w:pStyle w:val="Normal"/>
              <w:rPr/>
            </w:pPr>
            <w:r>
              <w:rPr/>
            </w:r>
          </w:p>
          <w:p>
            <w:pPr>
              <w:pStyle w:val="Normal"/>
              <w:rPr/>
            </w:pPr>
            <w:r>
              <w:rPr/>
              <w:tab/>
              <w:t>Defendant.</w:t>
            </w:r>
          </w:p>
          <w:p>
            <w:pPr>
              <w:pStyle w:val="Normal"/>
              <w:rPr/>
            </w:pPr>
            <w:r>
              <w:rPr/>
            </w:r>
          </w:p>
        </w:tc>
        <w:tc>
          <w:tcPr>
            <w:tcW w:w="4338" w:type="dxa"/>
            <w:tcBorders>
              <w:start w:val="single" w:sz="4" w:space="0" w:color="000000"/>
            </w:tcBorders>
          </w:tcPr>
          <w:p>
            <w:pPr>
              <w:pStyle w:val="Normal"/>
              <w:snapToGrid w:val="false"/>
              <w:rPr/>
            </w:pPr>
            <w:r>
              <w:rPr/>
            </w:r>
          </w:p>
          <w:p>
            <w:pPr>
              <w:pStyle w:val="Normal"/>
              <w:rPr/>
            </w:pPr>
            <w:r>
              <w:rPr/>
            </w:r>
          </w:p>
          <w:p>
            <w:pPr>
              <w:pStyle w:val="Normal"/>
              <w:rPr/>
            </w:pPr>
            <w:r>
              <w:rPr/>
            </w:r>
          </w:p>
          <w:p>
            <w:pPr>
              <w:pStyle w:val="Normal"/>
              <w:rPr/>
            </w:pPr>
            <w:r>
              <w:rPr/>
            </w:r>
          </w:p>
          <w:p>
            <w:pPr>
              <w:pStyle w:val="Normal"/>
              <w:jc w:val="center"/>
              <w:rPr>
                <w:b/>
                <w:bCs/>
              </w:rPr>
            </w:pPr>
            <w:r>
              <w:rPr>
                <w:b/>
                <w:bCs/>
              </w:rPr>
              <w:t>CITY OF DEERFIELD BEACH’S MOTION TO DISMISS AND MEMORANDUM OF LAW</w:t>
            </w:r>
          </w:p>
        </w:tc>
      </w:tr>
    </w:tbl>
    <w:p>
      <w:pPr>
        <w:pStyle w:val="Normal"/>
        <w:rPr/>
      </w:pPr>
      <w:r>
        <w:rPr/>
      </w:r>
    </w:p>
    <w:p>
      <w:pPr>
        <w:pStyle w:val="Double"/>
        <w:rPr/>
      </w:pPr>
      <w:r>
        <w:rPr/>
        <w:tab/>
        <w:t>Defendant City of Deerfield Beach (Deerfield Beach) files this Memorandum of Law in support of its Motion to Dismiss the Complaint of Plaintiff City of Coconut Creek (Coconut Creek).</w:t>
      </w:r>
    </w:p>
    <w:p>
      <w:pPr>
        <w:pStyle w:val="Double"/>
        <w:jc w:val="center"/>
        <w:rPr>
          <w:b/>
          <w:bCs/>
        </w:rPr>
      </w:pPr>
      <w:r>
        <w:rPr>
          <w:b/>
          <w:bCs/>
        </w:rPr>
        <w:t>INTRODUCTION</w:t>
      </w:r>
    </w:p>
    <w:p>
      <w:pPr>
        <w:pStyle w:val="Double"/>
        <w:rPr/>
      </w:pPr>
      <w:r>
        <w:rPr/>
        <w:tab/>
        <w:t>Coconut Creek’s Complaint seeks review, by an original action, of the June 15, 2001 quasi-judicial decision by the Development Review Committee (DRC) of the City of Deerfield Beach, approving (with conditions) a site plan submitted by Deerfield Beach Energy Center, L.L.C. (DBEC).</w:t>
      </w:r>
      <w:r>
        <w:rPr>
          <w:rStyle w:val="FootnoteCharacters"/>
          <w:rStyle w:val="FootnoteReference"/>
        </w:rPr>
        <w:footnoteReference w:id="2"/>
      </w:r>
      <w:r>
        <w:rPr/>
        <w:t xml:space="preserve">  Count I of the Complaint purports to be a “Petition for Writ of Certiorari,” while Counts II and III seek, respectively, injunctive and declaratory relief under Section 163.3215, Florida Statutes (2000).  </w:t>
      </w:r>
    </w:p>
    <w:p>
      <w:pPr>
        <w:pStyle w:val="Double"/>
        <w:rPr/>
      </w:pPr>
      <w:r>
        <w:rPr/>
        <w:tab/>
        <w:t xml:space="preserve">Coconut Creek mistakenly has invoked this Court’s original jurisdiction to challenge the DRC’s quasi-judicial ruling.  As the Florida Supreme Court now has made abundantly clear in a series of recent opinions, quasi-judicial decisions of local governmental tribunals are reviewable </w:t>
      </w:r>
      <w:r>
        <w:rPr>
          <w:i/>
          <w:iCs/>
        </w:rPr>
        <w:t>only</w:t>
      </w:r>
      <w:r>
        <w:rPr/>
        <w:t xml:space="preserve"> by certiorari – and certiorari, in this instance, is an </w:t>
      </w:r>
      <w:r>
        <w:rPr>
          <w:i/>
          <w:iCs/>
        </w:rPr>
        <w:t>appellate</w:t>
      </w:r>
      <w:r>
        <w:rPr/>
        <w:t xml:space="preserve"> remedy.  </w:t>
      </w:r>
      <w:r>
        <w:rPr>
          <w:i/>
          <w:iCs/>
        </w:rPr>
        <w:t>E.g., Broward County v. G.B.V. Int’l,</w:t>
      </w:r>
      <w:r>
        <w:rPr/>
        <w:t xml:space="preserve"> 2001 WL 617823 (Fla. June 7, 2001); </w:t>
      </w:r>
      <w:r>
        <w:rPr>
          <w:i/>
          <w:iCs/>
        </w:rPr>
        <w:t>Dusseau v. Metropolitan Dade County Bd. of County Comm’rs,</w:t>
      </w:r>
      <w:r>
        <w:rPr/>
        <w:t xml:space="preserve"> 2001 WL 621311 (Fla. May 17, 2001).  That is, this Court sits as an appellate court in reviewing a quasi-judicial administrative decision, according deference to the administrative body’s ruling and strictly limiting its review to three questions:  (i) whether the tribunal afforded the parties due process of law; (ii) whether the tribunal applied the correct rule of law; and (iii) whether the tribunal’s decision is supported by competent substantial evidence.  Neither injunctive nor declaratory relief is available for review of a quasi-judicial decision.</w:t>
      </w:r>
    </w:p>
    <w:p>
      <w:pPr>
        <w:pStyle w:val="Double"/>
        <w:rPr/>
      </w:pPr>
      <w:r>
        <w:rPr/>
        <w:tab/>
        <w:t xml:space="preserve">Coconut Creek’s “certiorari” Count is facially insufficient to comply with the requirements of Rules 9.100 and 9.190 of the Florida Rules of Appellate Procedure, </w:t>
      </w:r>
      <w:r>
        <w:rPr>
          <w:i/>
          <w:iCs/>
        </w:rPr>
        <w:t>e.g.,</w:t>
      </w:r>
      <w:r>
        <w:rPr/>
        <w:t xml:space="preserve"> the Count fails to set forth legal argument in support of Coconut Creek’s position and Coconut Creek utterly has ignored the requirement that it supply the Court and opposing counsel with an appendix that comprises an adequate record for appellate review.  The appropriate relief where a party mistakenly invokes the circuit court’s original jurisdiction to seek review of a quasi-judicial administrative ruling is to dismiss the complaint with leave to file a proper certiorari petition within a strictly circumscribed period of time (so as to avoid unfair prejudice to the party that prevailed before the administrative tribunal).</w:t>
      </w:r>
    </w:p>
    <w:p>
      <w:pPr>
        <w:pStyle w:val="Double"/>
        <w:rPr/>
      </w:pPr>
      <w:r>
        <w:rPr/>
        <w:tab/>
        <w:t xml:space="preserve">Moreover, the </w:t>
      </w:r>
      <w:r>
        <w:rPr>
          <w:i/>
          <w:iCs/>
        </w:rPr>
        <w:t>grounds</w:t>
      </w:r>
      <w:r>
        <w:rPr/>
        <w:t xml:space="preserve"> for relief set forth in Count I state no claim that is cognizable in certiorari, such that the Count would be subject to dismissal even if Coconut Creek had filed a facially sufficient certiorari petition.  Coconut Creek alleges in Count I that the approval of DBEC’s site plan is inconsistent with the approved master plans for Broward County and Deerfield Beach.  Under established Florida law, however, challenges to quasi-judicial land use decisions of local governmental boards on the basis of alleged inconsistency with a master plan may be brought </w:t>
      </w:r>
      <w:r>
        <w:rPr>
          <w:i/>
          <w:iCs/>
        </w:rPr>
        <w:t>only</w:t>
      </w:r>
      <w:r>
        <w:rPr/>
        <w:t xml:space="preserve"> by an original action under Section 163.3215, Florida Statutes (2000).  The certiorari count therefore should be dismissed as facially insufficient.</w:t>
      </w:r>
    </w:p>
    <w:p>
      <w:pPr>
        <w:pStyle w:val="Double"/>
        <w:rPr/>
      </w:pPr>
      <w:r>
        <w:rPr/>
        <w:tab/>
        <w:t xml:space="preserve">Finally, Coconut Creek cannot bring an action against Deerfield Beach under Section 163.3215, Florida Statutes (2000).  Under that statute, it is an absolute and unwaivable requirement that the aggrieved party, </w:t>
      </w:r>
      <w:r>
        <w:rPr>
          <w:i/>
          <w:iCs/>
        </w:rPr>
        <w:t>prior to initiating an action in circuit court,</w:t>
      </w:r>
      <w:r>
        <w:rPr/>
        <w:t xml:space="preserve"> file a complaint with the local governmental body that issued the order sought to be review.  No action may be filed until the governmental body is given the statutory period of </w:t>
      </w:r>
      <w:r>
        <w:rPr>
          <w:i/>
          <w:iCs/>
        </w:rPr>
        <w:t>30 days</w:t>
      </w:r>
      <w:r>
        <w:rPr/>
        <w:t xml:space="preserve"> to take appropriate action.  If no action is taken, then the aggrieved party may institute an original Section 163.3215 action, strictly limited to the question whether the approval is consistent with the application master plan.</w:t>
      </w:r>
    </w:p>
    <w:p>
      <w:pPr>
        <w:pStyle w:val="Double"/>
        <w:rPr/>
      </w:pPr>
      <w:r>
        <w:rPr/>
        <w:tab/>
        <w:t>Coconut Creek simply ignored the pre-suit requirement of Section 163.3215 by initiating its action in this Court without first filing a complaint with Deerfield Beach.  Moreover, the claims alleged in Counts II and III, which Counts purport to be brought under Section 163.3215, are not limited to the question whether the approval of DBEC’s site plan is consistent with the governing master plan, but rather set forth a set of broadly stated challenges to the approval.  Even if Coconut Creek were entitled to bring its action under Section 163.3215 in the first instance, the Complaint would fail to state a cause of action under that statute.</w:t>
      </w:r>
    </w:p>
    <w:p>
      <w:pPr>
        <w:pStyle w:val="Double"/>
        <w:jc w:val="center"/>
        <w:rPr>
          <w:b/>
          <w:bCs/>
        </w:rPr>
      </w:pPr>
      <w:r>
        <w:rPr>
          <w:b/>
          <w:bCs/>
        </w:rPr>
        <w:t>I</w:t>
      </w:r>
    </w:p>
    <w:p>
      <w:pPr>
        <w:pStyle w:val="Double"/>
        <w:jc w:val="center"/>
        <w:rPr>
          <w:b/>
          <w:bCs/>
        </w:rPr>
      </w:pPr>
      <w:r>
        <w:rPr>
          <w:b/>
          <w:bCs/>
        </w:rPr>
        <w:t>THE “CERTIORARI” COUNT</w:t>
      </w:r>
    </w:p>
    <w:p>
      <w:pPr>
        <w:pStyle w:val="Double"/>
        <w:jc w:val="center"/>
        <w:rPr>
          <w:b/>
          <w:bCs/>
        </w:rPr>
      </w:pPr>
      <w:r>
        <w:rPr>
          <w:b/>
          <w:bCs/>
        </w:rPr>
        <w:t>A.</w:t>
      </w:r>
    </w:p>
    <w:p>
      <w:pPr>
        <w:pStyle w:val="Double"/>
        <w:rPr/>
      </w:pPr>
      <w:r>
        <w:rPr/>
        <w:tab/>
        <w:t>Rule 9.190(b) of the Florida Rules of Appellate Procedure provides, in pertinent part:</w:t>
      </w:r>
    </w:p>
    <w:p>
      <w:pPr>
        <w:pStyle w:val="QuoteIndent"/>
        <w:rPr/>
      </w:pPr>
      <w:r>
        <w:rPr/>
        <w:t xml:space="preserve">Review of quasi-judicial decisions of any administrative body, agency, board, or commission not subject to the Administrative Procedure Act </w:t>
      </w:r>
      <w:r>
        <w:rPr>
          <w:i/>
          <w:iCs/>
        </w:rPr>
        <w:t>shall be commenced by filing a petition for writ of certiorari</w:t>
      </w:r>
      <w:r>
        <w:rPr/>
        <w:t xml:space="preserve"> in accordance with rules 9.100(b) and (c), unless judicial review by appeal is provided by general law.</w:t>
      </w:r>
    </w:p>
    <w:p>
      <w:pPr>
        <w:pStyle w:val="Double"/>
        <w:rPr/>
      </w:pPr>
      <w:r>
        <w:rPr/>
        <w:t>Fla.R.App.P. 9.190(b)(3) (emphasis added).  Municipal and county governmental bodies are not subject to the provisions of the Administrative Procedure Act, § 120.52(1), Fla. Stat. (2000), and the Legislature has not provided for appellate review by general law.</w:t>
      </w:r>
    </w:p>
    <w:p>
      <w:pPr>
        <w:pStyle w:val="Double"/>
        <w:rPr/>
      </w:pPr>
      <w:r>
        <w:rPr/>
        <w:tab/>
        <w:t xml:space="preserve">Certiorari thus remains the exclusive means by which review may be sought of a local government’s quasi-judicial ruling, and neither declaratory nor injunctive relief is available to challenge such a ruling.  </w:t>
      </w:r>
      <w:r>
        <w:rPr>
          <w:i/>
          <w:iCs/>
        </w:rPr>
        <w:t>E.g.,</w:t>
      </w:r>
      <w:r>
        <w:rPr/>
        <w:t xml:space="preserve"> </w:t>
      </w:r>
      <w:r>
        <w:rPr>
          <w:i/>
        </w:rPr>
        <w:t xml:space="preserve">Dade County v. Marca, S.A., </w:t>
      </w:r>
      <w:r>
        <w:rPr/>
        <w:t xml:space="preserve">326 So. 2d 183 (Fla. 1976); </w:t>
      </w:r>
      <w:r>
        <w:rPr>
          <w:i/>
        </w:rPr>
        <w:t xml:space="preserve">Teston v. City of Tampa, </w:t>
      </w:r>
      <w:r>
        <w:rPr/>
        <w:t xml:space="preserve">143 So. 2d 473, 476 (Fla. 1962); </w:t>
      </w:r>
      <w:r>
        <w:rPr>
          <w:i/>
        </w:rPr>
        <w:t xml:space="preserve">De Groot v. Sheffield, </w:t>
      </w:r>
      <w:r>
        <w:rPr/>
        <w:t>95 So. 2d 912, 915-16 (Fla. 1957)</w:t>
      </w:r>
      <w:r>
        <w:rPr>
          <w:i/>
        </w:rPr>
        <w:t xml:space="preserve">Walgreen Co. v. Polk County, </w:t>
      </w:r>
      <w:r>
        <w:rPr/>
        <w:t xml:space="preserve">524 So. 2d 1119, 1120 (Fla. 2d DCA 1988); </w:t>
      </w:r>
      <w:r>
        <w:rPr>
          <w:i/>
        </w:rPr>
        <w:t xml:space="preserve">Carol City Utilities v. Dade County, </w:t>
      </w:r>
      <w:r>
        <w:rPr/>
        <w:t xml:space="preserve">143 So. 2d 828, 829 (Fla. 3d DCA), </w:t>
      </w:r>
      <w:r>
        <w:rPr>
          <w:i/>
        </w:rPr>
        <w:t xml:space="preserve">prohibition denied, </w:t>
      </w:r>
      <w:r>
        <w:rPr/>
        <w:t xml:space="preserve">149 So. 2d 49 (Fla. 1962), </w:t>
      </w:r>
      <w:r>
        <w:rPr>
          <w:i/>
        </w:rPr>
        <w:t xml:space="preserve">cert. discharged, </w:t>
      </w:r>
      <w:r>
        <w:rPr/>
        <w:t xml:space="preserve">152 So. 2d 462 (Fla. 1963).  In this context, certiorari is </w:t>
      </w:r>
      <w:r>
        <w:rPr>
          <w:i/>
          <w:iCs/>
        </w:rPr>
        <w:t>appellate</w:t>
      </w:r>
      <w:r>
        <w:rPr/>
        <w:t xml:space="preserve"> in nature, </w:t>
      </w:r>
      <w:r>
        <w:rPr>
          <w:i/>
          <w:iCs/>
        </w:rPr>
        <w:t>e.g., G.B.V. Int’l v. Broward County,</w:t>
      </w:r>
      <w:r>
        <w:rPr/>
        <w:t xml:space="preserve"> 2001 WL 617823 *3 (June 7, 2001) (first-level certiorari review in circuit court “is akin in many respects to a plenary appeal”), and may not be brought – as Coconut Creek has done – by an original action.  </w:t>
      </w:r>
      <w:r>
        <w:rPr>
          <w:i/>
          <w:iCs/>
        </w:rPr>
        <w:t xml:space="preserve">E.g., </w:t>
      </w:r>
      <w:r>
        <w:rPr>
          <w:i/>
        </w:rPr>
        <w:t xml:space="preserve">Grace v. Town of Palm Beach, </w:t>
      </w:r>
      <w:r>
        <w:rPr/>
        <w:t xml:space="preserve">656 So. 2d 945, 946 (Fla. 4th DCA 1995); </w:t>
      </w:r>
      <w:r>
        <w:rPr>
          <w:i/>
        </w:rPr>
        <w:t xml:space="preserve">City of Ft. Pierce v. Dickerson, </w:t>
      </w:r>
      <w:r>
        <w:rPr/>
        <w:t>588 So. 2d 1080, 1081-82 (Fla. 4th DCA 1991).</w:t>
      </w:r>
    </w:p>
    <w:p>
      <w:pPr>
        <w:pStyle w:val="Double"/>
        <w:rPr/>
      </w:pPr>
      <w:r>
        <w:rPr/>
        <w:tab/>
        <w:t xml:space="preserve">Moreover, this Court’s scope of review on certiorari is strictly limited.  “Where a party is entitled as a matter of right to seek review in the circuit court from administrative action, the circuit court must determine whether procedural due process is accorded, whether the essential requirements of law have been observed, and whether the administrative findings are supported by competent substantial evidence.”  </w:t>
      </w:r>
      <w:r>
        <w:rPr>
          <w:i/>
          <w:iCs/>
        </w:rPr>
        <w:t>City of Deerfield Beach v. Vaillant,</w:t>
      </w:r>
      <w:r>
        <w:rPr/>
        <w:t xml:space="preserve"> 419 So. 2d 624, 626 (Fla. 1982); </w:t>
      </w:r>
      <w:r>
        <w:rPr>
          <w:i/>
          <w:iCs/>
        </w:rPr>
        <w:t>accord, e.g., G.B.V. Int’l, supra</w:t>
      </w:r>
      <w:r>
        <w:rPr/>
        <w:t xml:space="preserve"> at *3; </w:t>
      </w:r>
      <w:r>
        <w:rPr>
          <w:i/>
          <w:iCs/>
        </w:rPr>
        <w:t>Dusseau v. Metro. Dade County Bd. of Comm’rs,</w:t>
      </w:r>
      <w:r>
        <w:rPr/>
        <w:t xml:space="preserve"> 2001 WL 521311 *3 (Fla. May 17, 2001); </w:t>
      </w:r>
      <w:r>
        <w:rPr>
          <w:i/>
          <w:iCs/>
        </w:rPr>
        <w:t>Florida Power &amp; Light Co. v. City of Dania,</w:t>
      </w:r>
      <w:r>
        <w:rPr/>
        <w:t xml:space="preserve"> 761 So. 2d 1089, 1092 (Fla. 2000).  On certiorari, this Court may not reweigh the evidence or substitute its judgment for that of the administrative tribunal, but rather is constrained to review the tribunal’s decision solely “to determine whether it was </w:t>
      </w:r>
      <w:r>
        <w:rPr>
          <w:i/>
          <w:iCs/>
        </w:rPr>
        <w:t>supported</w:t>
      </w:r>
      <w:r>
        <w:rPr/>
        <w:t xml:space="preserve"> by competent substantial evidence.”  </w:t>
      </w:r>
      <w:r>
        <w:rPr>
          <w:i/>
          <w:iCs/>
        </w:rPr>
        <w:t>Dusseau, supra</w:t>
      </w:r>
      <w:r>
        <w:rPr/>
        <w:t xml:space="preserve"> at *3 (original emphasis).</w:t>
      </w:r>
    </w:p>
    <w:p>
      <w:pPr>
        <w:pStyle w:val="Double"/>
        <w:rPr/>
      </w:pPr>
      <w:r>
        <w:rPr/>
        <w:tab/>
        <w:t xml:space="preserve">It is thus clear that Coconut Creek improperly has brought an </w:t>
      </w:r>
      <w:r>
        <w:rPr>
          <w:i/>
          <w:iCs/>
        </w:rPr>
        <w:t>original</w:t>
      </w:r>
      <w:r>
        <w:rPr/>
        <w:t xml:space="preserve"> action in certiorari.  Moreover, Coconut Creek’s “certiorari” count is woefully insufficient to satisfy the requirements of Rule 9.100 of the Florida Rules of Appellate Procedure.  </w:t>
      </w:r>
    </w:p>
    <w:p>
      <w:pPr>
        <w:pStyle w:val="Double"/>
        <w:rPr/>
      </w:pPr>
      <w:r>
        <w:rPr/>
        <w:tab/>
        <w:t>Under that rule, a certiorari petition to review a quasi-judicial decision must be filed within 30 days, Fla.R.App.P. 9.100(c)(2), and “</w:t>
      </w:r>
      <w:r>
        <w:rPr>
          <w:i/>
          <w:iCs/>
        </w:rPr>
        <w:t>shall</w:t>
      </w:r>
      <w:r>
        <w:rPr/>
        <w:t xml:space="preserve"> contain,” Fla.R.App.P. 9.100(g) (emphasis added), the following:  (i) “the basis for invoking the jurisdiction of the court”; (ii) “the facts on which the petitioner relies”; (iii) “the nature of the relief sought”; and (iv) “argument in support of the petition and appropriate citations of authority.”  </w:t>
      </w:r>
      <w:r>
        <w:rPr>
          <w:i/>
          <w:iCs/>
        </w:rPr>
        <w:t>Id.</w:t>
      </w:r>
      <w:r>
        <w:rPr>
          <w:rStyle w:val="FootnoteCharacters"/>
          <w:rStyle w:val="FootnoteReference"/>
          <w:i/>
          <w:iCs/>
        </w:rPr>
        <w:footnoteReference w:id="3"/>
      </w:r>
      <w:r>
        <w:rPr/>
        <w:t xml:space="preserve">  Additionally, where – as here – “the petition seeks an order directed to a lower tribunal, the petition </w:t>
      </w:r>
      <w:r>
        <w:rPr>
          <w:i/>
          <w:iCs/>
        </w:rPr>
        <w:t>shall</w:t>
      </w:r>
      <w:r>
        <w:rPr/>
        <w:t xml:space="preserve"> be accompanied by an appendix as prescribed by rule 9.220, and the petition </w:t>
      </w:r>
      <w:r>
        <w:rPr>
          <w:i/>
          <w:iCs/>
        </w:rPr>
        <w:t>shall</w:t>
      </w:r>
      <w:r>
        <w:rPr/>
        <w:t xml:space="preserve"> contain references to the appropriate pages of the supporting appendix.”  </w:t>
      </w:r>
      <w:r>
        <w:rPr>
          <w:i/>
          <w:iCs/>
        </w:rPr>
        <w:t>Id.</w:t>
      </w:r>
      <w:r>
        <w:rPr/>
        <w:t xml:space="preserve"> (emphasis added).  Rule 9.220, in turn, reaffirms that “an appendix is </w:t>
      </w:r>
      <w:r>
        <w:rPr>
          <w:i/>
          <w:iCs/>
        </w:rPr>
        <w:t>required</w:t>
      </w:r>
      <w:r>
        <w:rPr/>
        <w:t xml:space="preserve"> in proceedings under rule[] 9.100.”  Fla.R.App.P. 9.220 (emphasis added).</w:t>
      </w:r>
      <w:r>
        <w:rPr>
          <w:rStyle w:val="FootnoteCharacters"/>
          <w:rStyle w:val="FootnoteReference"/>
        </w:rPr>
        <w:footnoteReference w:id="4"/>
      </w:r>
      <w:r>
        <w:rPr/>
        <w:t xml:space="preserve">  A certiorari petition is subject to summary denial where a would-be petitioner fails to supply the reviewing court with a complete record – including the pertinent transcripts – of the proceedings before the administrative tribunal.  </w:t>
      </w:r>
      <w:r>
        <w:rPr>
          <w:i/>
          <w:iCs/>
        </w:rPr>
        <w:t>E.g., DiPietro v. Coletta,</w:t>
      </w:r>
      <w:r>
        <w:rPr/>
        <w:t xml:space="preserve"> 512 So. 2d 1048, 1050 (Fla. 3d DCA 1987); </w:t>
      </w:r>
      <w:r>
        <w:rPr>
          <w:i/>
          <w:iCs/>
        </w:rPr>
        <w:t>City of Hallandale v. Heim,</w:t>
      </w:r>
      <w:r>
        <w:rPr/>
        <w:t xml:space="preserve"> 472 So. 2d 1386, 1387 (Fla. 4th DCA 1985); </w:t>
      </w:r>
      <w:r>
        <w:rPr>
          <w:i/>
          <w:iCs/>
        </w:rPr>
        <w:t>McCray v. County of Volusia,</w:t>
      </w:r>
      <w:r>
        <w:rPr/>
        <w:t xml:space="preserve"> 400 So. 2d 511, 512 (Fla. 5th DCA 1981).</w:t>
      </w:r>
    </w:p>
    <w:p>
      <w:pPr>
        <w:pStyle w:val="Double"/>
        <w:rPr/>
      </w:pPr>
      <w:r>
        <w:rPr/>
        <w:tab/>
        <w:t xml:space="preserve">Rule 9.040(c) of the Florida Rules of Appellate Procedure provides, “[i]f a party seeks an improper remedy, the cause shall be treated as if the proper remedy had been sought.”  Where, as here, a challenge to a quasi-judicial ruling is inappropriately brought by an original action, the complaint should be dismissed.  </w:t>
      </w:r>
      <w:r>
        <w:rPr>
          <w:i/>
        </w:rPr>
        <w:t xml:space="preserve">E.g., Reed v. City of Hollywood, </w:t>
      </w:r>
      <w:r>
        <w:rPr/>
        <w:t xml:space="preserve">483 So. 2d 759, 760 (Fla. 4th DCA 1986).  The Court may elect to treat the Complaint as a certiorari petition solely for jurisdictional purposes, </w:t>
      </w:r>
      <w:r>
        <w:rPr>
          <w:i/>
        </w:rPr>
        <w:t>Reed</w:t>
      </w:r>
      <w:r>
        <w:rPr/>
        <w:t xml:space="preserve">, 483 So. 2d at 760 n.2, but Coconut Creek must be required forthwith to file a proper certiorari petition, together with an appropriate appendix.  </w:t>
      </w:r>
      <w:r>
        <w:rPr>
          <w:i/>
        </w:rPr>
        <w:t xml:space="preserve">Ceslow v. Bd. of County Comm’rs, Palm Beach County, </w:t>
      </w:r>
      <w:r>
        <w:rPr/>
        <w:t xml:space="preserve">428 So. 2d 701, 702-03 (Fla. 4th DCA 1983).  </w:t>
      </w:r>
    </w:p>
    <w:p>
      <w:pPr>
        <w:pStyle w:val="Double"/>
        <w:jc w:val="center"/>
        <w:rPr>
          <w:b/>
          <w:bCs/>
        </w:rPr>
      </w:pPr>
      <w:r>
        <w:rPr>
          <w:b/>
          <w:bCs/>
        </w:rPr>
        <w:t>B.</w:t>
      </w:r>
    </w:p>
    <w:p>
      <w:pPr>
        <w:pStyle w:val="Double"/>
        <w:rPr/>
      </w:pPr>
      <w:r>
        <w:rPr/>
        <w:tab/>
        <w:t xml:space="preserve">In addition to the procedural deficiencies in Coconut Creek’s “certiorari” Count, the grounds asserted in that Count may not be brought on certiorari, even if Coconut Creek properly had invoked this Court’s appellate jurisdiction.  In Count I, the purported “certiorari” Count, Coconut Creek challenges the DRC’s approval of DBEC’s site plan on the ground that the approval is inconsistent with the governing master plans.  Complaint ¶11 (“[t]he decision of the Deerfield Beach Development Review Committee is not consistent with either the Broward County Land Use Plan or the Deerfield Beach Land Use Plan”).  This claim </w:t>
      </w:r>
      <w:r>
        <w:rPr>
          <w:i/>
          <w:iCs/>
        </w:rPr>
        <w:t>may not be brought</w:t>
      </w:r>
      <w:r>
        <w:rPr/>
        <w:t xml:space="preserve"> on certiorari review.</w:t>
      </w:r>
    </w:p>
    <w:p>
      <w:pPr>
        <w:pStyle w:val="Double"/>
        <w:rPr/>
      </w:pPr>
      <w:r>
        <w:rPr/>
        <w:tab/>
        <w:t xml:space="preserve">As an integral part of the comprehensive-plan statutes, the Florida Legislature established an </w:t>
      </w:r>
      <w:r>
        <w:rPr>
          <w:i/>
        </w:rPr>
        <w:t>exclusive</w:t>
      </w:r>
      <w:r>
        <w:rPr/>
        <w:t xml:space="preserve"> remedy for aggrieved parties who would challenge a local government’s development order as inconsistent with the governing master plan.  Section 163.3215, Florida Statutes (2000), provides in pertinent part:</w:t>
      </w:r>
    </w:p>
    <w:p>
      <w:pPr>
        <w:pStyle w:val="QuoteIndent"/>
        <w:ind w:hanging="720" w:start="1440" w:end="720"/>
        <w:rPr/>
      </w:pPr>
      <w:r>
        <w:rPr/>
        <w:t>(1)</w:t>
        <w:tab/>
        <w:t>Any aggrieved or adversely affected party may maintain an action for injunctive or other relief against any local government to prevent such local government from taking any action on a development order ... which materially alters the use or density or intensity of use on a particular piece of property that is not consistent with the comprehensive plan adopted under this part.</w:t>
      </w:r>
    </w:p>
    <w:p>
      <w:pPr>
        <w:pStyle w:val="Double"/>
        <w:jc w:val="center"/>
        <w:rPr/>
      </w:pPr>
      <w:r>
        <w:rPr/>
        <w:t>*  *  *</w:t>
      </w:r>
    </w:p>
    <w:p>
      <w:pPr>
        <w:pStyle w:val="QuoteIndent"/>
        <w:ind w:hanging="720" w:start="1440" w:end="720"/>
        <w:rPr/>
      </w:pPr>
      <w:r>
        <w:rPr/>
        <w:t>(3)(b)</w:t>
        <w:tab/>
        <w:t xml:space="preserve">Suit under this section </w:t>
      </w:r>
      <w:r>
        <w:rPr>
          <w:i/>
        </w:rPr>
        <w:t>shall be the sole action available to challenge the consistency of a development order with a comprehensive plan</w:t>
      </w:r>
      <w:r>
        <w:rPr/>
        <w:t xml:space="preserve"> adopted under this part.</w:t>
      </w:r>
    </w:p>
    <w:p>
      <w:pPr>
        <w:pStyle w:val="Double"/>
        <w:rPr/>
      </w:pPr>
      <w:r>
        <w:rPr/>
        <w:t xml:space="preserve">§ 163.3215(1), (3) (b), Fla. Stat. (2000) (emphasis added).  </w:t>
      </w:r>
    </w:p>
    <w:p>
      <w:pPr>
        <w:pStyle w:val="Double"/>
        <w:rPr/>
      </w:pPr>
      <w:r>
        <w:rPr/>
        <w:tab/>
        <w:t xml:space="preserve">Section 163.3215 was enacted for the sole purpose of providing a remedy to individuals who would otherwise have been denied an opportunity to raise consistency challenges in the Florida courts under common-law standing requirements.  </w:t>
      </w:r>
      <w:r>
        <w:rPr>
          <w:i/>
        </w:rPr>
        <w:t xml:space="preserve">Parker v. Leon County, </w:t>
      </w:r>
      <w:r>
        <w:rPr/>
        <w:t>627 So. 2d 476, 479 (Fla. 1993).  The legislative declaration that an original action under Section 163.3215 is the “</w:t>
      </w:r>
      <w:r>
        <w:rPr>
          <w:i/>
        </w:rPr>
        <w:t>sole action</w:t>
      </w:r>
      <w:r>
        <w:rPr/>
        <w:t xml:space="preserve"> available to challenge the consistency of a development order with a comprehensive plan” means </w:t>
      </w:r>
      <w:r>
        <w:rPr>
          <w:i/>
        </w:rPr>
        <w:t xml:space="preserve">precisely </w:t>
      </w:r>
      <w:r>
        <w:rPr/>
        <w:t xml:space="preserve">what is says.  </w:t>
      </w:r>
      <w:r>
        <w:rPr>
          <w:i/>
        </w:rPr>
        <w:t xml:space="preserve">E.g., Educ. Dev. Ctr., Inc. v. Palm Beach County, </w:t>
      </w:r>
      <w:r>
        <w:rPr/>
        <w:t xml:space="preserve">721 So. 2d 1240, 1241 (Fla. 4th DCA 1998) (Section 163.3215 action is exclusive remedy for challenging decision by local government on consistency of a development order with the local comprehensive plan); </w:t>
      </w:r>
      <w:r>
        <w:rPr>
          <w:i/>
        </w:rPr>
        <w:t xml:space="preserve">Turner v. Sumter County, Bd. of County Comm’rs, </w:t>
      </w:r>
      <w:r>
        <w:rPr/>
        <w:t xml:space="preserve">649 So. 2d 276, 277 (Fla. 5th DCA 1995) (same); </w:t>
      </w:r>
      <w:r>
        <w:rPr>
          <w:i/>
        </w:rPr>
        <w:t xml:space="preserve">Bd. of Trustees of Internal Improvement Trust Fund v. Seminole County Bd. of County Comm’rs, </w:t>
      </w:r>
      <w:r>
        <w:rPr/>
        <w:t xml:space="preserve">623 So. 2d 593, 596 (Fla. 5th DCA 1993) (action under Section 163.3215 “is the sole action available to challenge the consistency of a development order”), </w:t>
      </w:r>
      <w:r>
        <w:rPr>
          <w:i/>
        </w:rPr>
        <w:t xml:space="preserve">review denied, </w:t>
      </w:r>
      <w:r>
        <w:rPr/>
        <w:t>634 So. 2d 622 (Fla. 1994).  Coconut Creek therefore cannot invoke this Court’s certiorari power to press its argument that the approval of DBEC’s site plan is purportedly inconsistent with the governing master plans.</w:t>
      </w:r>
    </w:p>
    <w:p>
      <w:pPr>
        <w:pStyle w:val="Double"/>
        <w:jc w:val="center"/>
        <w:rPr>
          <w:b/>
          <w:bCs/>
        </w:rPr>
      </w:pPr>
      <w:r>
        <w:rPr>
          <w:b/>
          <w:bCs/>
        </w:rPr>
        <w:t>II.</w:t>
      </w:r>
    </w:p>
    <w:p>
      <w:pPr>
        <w:pStyle w:val="Double"/>
        <w:jc w:val="center"/>
        <w:rPr>
          <w:b/>
          <w:bCs/>
        </w:rPr>
      </w:pPr>
      <w:r>
        <w:rPr>
          <w:b/>
          <w:bCs/>
        </w:rPr>
        <w:t>THE SECTION 163.3215 COUNTS</w:t>
      </w:r>
    </w:p>
    <w:p>
      <w:pPr>
        <w:pStyle w:val="Double"/>
        <w:rPr/>
      </w:pPr>
      <w:r>
        <w:rPr/>
        <w:tab/>
        <w:t xml:space="preserve">Somewhat ironically, while Coconut Creek attempts to plead claims for relief under Section 163.3215, the grounds for relief in Counts II and III are </w:t>
      </w:r>
      <w:r>
        <w:rPr>
          <w:i/>
          <w:iCs/>
        </w:rPr>
        <w:t>not</w:t>
      </w:r>
      <w:r>
        <w:rPr/>
        <w:t xml:space="preserve"> limited – as they must be, under the precedent set forth in the preceding section – to allegations concerning the consistency of the approval with the governing master plans.  Rather, Coconut Creek alleges a variety of grounds for the relief that it seeks in Counts II and III, ranging from arguments based on the </w:t>
      </w:r>
      <w:r>
        <w:rPr>
          <w:i/>
          <w:iCs/>
        </w:rPr>
        <w:t>zoning</w:t>
      </w:r>
      <w:r>
        <w:rPr/>
        <w:t xml:space="preserve"> of adjacent properties to alleged procedural deficiencies in the quasi-judicial hearing before the DRC.  Complaint ¶¶26, 28, 32-37.  Coconut Creek is thus using Section 163.3215 as a basis for raising, in an original action, direct challenges to the administrative proceedings that are wholly unrelated to the question of master-plan consistency.  This it simply may not do.  </w:t>
      </w:r>
      <w:r>
        <w:rPr>
          <w:i/>
        </w:rPr>
        <w:t xml:space="preserve">Grace, </w:t>
      </w:r>
      <w:r>
        <w:rPr/>
        <w:t>656 So. 2d at 946;</w:t>
      </w:r>
      <w:r>
        <w:rPr>
          <w:i/>
        </w:rPr>
        <w:t xml:space="preserve"> Dickerson, </w:t>
      </w:r>
      <w:r>
        <w:rPr/>
        <w:t>588 So. 2d at 1081-82.</w:t>
      </w:r>
    </w:p>
    <w:p>
      <w:pPr>
        <w:pStyle w:val="Double"/>
        <w:rPr/>
      </w:pPr>
      <w:r>
        <w:rPr/>
        <w:tab/>
        <w:t xml:space="preserve">There is, however, a far more fundamental flaw in Coconut Creek’s invocation of Section 163.3215.  That statute includes a </w:t>
      </w:r>
      <w:r>
        <w:rPr>
          <w:i/>
          <w:iCs/>
        </w:rPr>
        <w:t>pre-suit</w:t>
      </w:r>
      <w:r>
        <w:rPr/>
        <w:t xml:space="preserve"> condition precedent to bringing an action, even one properly based on alleged master-plan inconsistency, which condition Coconut Creek simply ignored.  Under the statute, a verified complaint must be filed within 30 days </w:t>
      </w:r>
      <w:r>
        <w:rPr>
          <w:i/>
          <w:iCs/>
        </w:rPr>
        <w:t xml:space="preserve">with the local government whose actions are challenged, </w:t>
      </w:r>
      <w:r>
        <w:rPr/>
        <w:t xml:space="preserve">and the local government thereafter has 30 days to respond.  § 163.3215(4), Fla. Stat. (2000).  An action may be instituted after the 30-day period for the government to respond has expired, and </w:t>
      </w:r>
      <w:r>
        <w:rPr>
          <w:iCs/>
        </w:rPr>
        <w:t>must</w:t>
      </w:r>
      <w:r>
        <w:rPr/>
        <w:t xml:space="preserve"> be instituted “no later than 30 days after the expiration of the 30-day period which the government has to take appropriate action.”  </w:t>
      </w:r>
      <w:r>
        <w:rPr>
          <w:i/>
        </w:rPr>
        <w:t>Id.</w:t>
      </w:r>
      <w:r>
        <w:rPr/>
        <w:t xml:space="preserve">  The failure to comply with these time limits constitutes a </w:t>
      </w:r>
      <w:r>
        <w:rPr>
          <w:i/>
          <w:iCs/>
        </w:rPr>
        <w:t>waiver</w:t>
      </w:r>
      <w:r>
        <w:rPr/>
        <w:t xml:space="preserve"> of the right to bring an action under Section 163.3215.  </w:t>
      </w:r>
      <w:r>
        <w:rPr>
          <w:i/>
        </w:rPr>
        <w:t xml:space="preserve">E.g., Bd. of Trustees of Internal Improvement Trust Fund, </w:t>
      </w:r>
      <w:r>
        <w:rPr/>
        <w:t>623 So. 2d at 596.  Coconut Creek’s failure to comply with the filing requirements of Section 163.3215 accordingly requires dismissal of Counts II and III of the Complaint.</w:t>
      </w:r>
    </w:p>
    <w:p>
      <w:pPr>
        <w:pStyle w:val="Double"/>
        <w:jc w:val="center"/>
        <w:rPr>
          <w:b/>
          <w:bCs/>
        </w:rPr>
      </w:pPr>
      <w:r>
        <w:rPr>
          <w:b/>
          <w:bCs/>
        </w:rPr>
        <w:t>CONCLUSION</w:t>
      </w:r>
    </w:p>
    <w:p>
      <w:pPr>
        <w:pStyle w:val="Double"/>
        <w:rPr/>
      </w:pPr>
      <w:r>
        <w:rPr/>
        <w:tab/>
        <w:t>Based on the foregoing, Deerfield Beach moves the Court to:  (i) dismiss Count I of the Complaint with leave to file a certiorari petition, provided that such petition shall be filed within 10 days of the Court’s order, failing which Count I shall be dismissed with prejudice; and (ii) to dismiss Counts II and III of the Complaint with prejudice.</w:t>
      </w:r>
      <w:r>
        <w:br w:type="page"/>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pPr>
            <w:r>
              <w:rPr/>
            </w:r>
          </w:p>
        </w:tc>
        <w:tc>
          <w:tcPr>
            <w:tcW w:w="4788" w:type="dxa"/>
            <w:tcBorders/>
          </w:tcPr>
          <w:p>
            <w:pPr>
              <w:pStyle w:val="Normal"/>
              <w:keepNext w:val="true"/>
              <w:keepLines/>
              <w:rPr/>
            </w:pPr>
            <w:r>
              <w:rPr/>
              <w:t>Respectfully submitted,</w:t>
            </w:r>
          </w:p>
          <w:p>
            <w:pPr>
              <w:pStyle w:val="Normal"/>
              <w:keepNext w:val="true"/>
              <w:keepLines/>
              <w:rPr/>
            </w:pPr>
            <w:r>
              <w:rPr/>
            </w:r>
          </w:p>
          <w:p>
            <w:pPr>
              <w:pStyle w:val="Normal"/>
              <w:keepNext w:val="true"/>
              <w:keepLines/>
              <w:rPr/>
            </w:pPr>
            <w:r>
              <w:rPr/>
            </w:r>
          </w:p>
          <w:p>
            <w:pPr>
              <w:pStyle w:val="Normal"/>
              <w:rPr>
                <w:b/>
                <w:bCs/>
              </w:rPr>
            </w:pPr>
            <w:r>
              <w:rPr>
                <w:b/>
                <w:bCs/>
              </w:rPr>
              <w:t>____________________________________</w:t>
            </w:r>
          </w:p>
          <w:p>
            <w:pPr>
              <w:pStyle w:val="Normal"/>
              <w:rPr/>
            </w:pPr>
            <w:r>
              <w:rPr/>
              <w:t>Andrew S. Maurodis, Esq.</w:t>
            </w:r>
          </w:p>
          <w:p>
            <w:pPr>
              <w:pStyle w:val="Normal"/>
              <w:rPr/>
            </w:pPr>
            <w:r>
              <w:rPr>
                <w:rFonts w:eastAsia="CG Times;CG Times"/>
              </w:rPr>
              <w:t xml:space="preserve">  </w:t>
            </w:r>
            <w:r>
              <w:rPr/>
              <w:t>Florida Bar No. ##</w:t>
            </w:r>
          </w:p>
          <w:p>
            <w:pPr>
              <w:pStyle w:val="Normal"/>
              <w:rPr/>
            </w:pPr>
            <w:r>
              <w:rPr/>
              <w:t>City Attorney</w:t>
            </w:r>
          </w:p>
          <w:p>
            <w:pPr>
              <w:pStyle w:val="Normal"/>
              <w:rPr/>
            </w:pPr>
            <w:r>
              <w:rPr/>
              <w:t>City of Deerfield Beach</w:t>
            </w:r>
          </w:p>
          <w:p>
            <w:pPr>
              <w:pStyle w:val="Normal"/>
              <w:rPr/>
            </w:pPr>
            <w:r>
              <w:rPr/>
              <w:t>150 North East 2</w:t>
            </w:r>
            <w:r>
              <w:rPr>
                <w:vertAlign w:val="superscript"/>
              </w:rPr>
              <w:t>nd</w:t>
            </w:r>
            <w:r>
              <w:rPr/>
              <w:t xml:space="preserve"> Avenue</w:t>
            </w:r>
          </w:p>
          <w:p>
            <w:pPr>
              <w:pStyle w:val="Normal"/>
              <w:rPr/>
            </w:pPr>
            <w:r>
              <w:rPr/>
              <w:t xml:space="preserve">Deerfield Beach, Florida 33441 </w:t>
            </w:r>
          </w:p>
        </w:tc>
      </w:tr>
      <w:tr>
        <w:trPr/>
        <w:tc>
          <w:tcPr>
            <w:tcW w:w="4788" w:type="dxa"/>
            <w:tcBorders/>
          </w:tcPr>
          <w:p>
            <w:pPr>
              <w:pStyle w:val="Normal"/>
              <w:snapToGrid w:val="false"/>
              <w:rPr/>
            </w:pPr>
            <w:r>
              <w:rPr/>
            </w:r>
          </w:p>
        </w:tc>
        <w:tc>
          <w:tcPr>
            <w:tcW w:w="4788" w:type="dxa"/>
            <w:tcBorders/>
          </w:tcPr>
          <w:p>
            <w:pPr>
              <w:pStyle w:val="Normal"/>
              <w:keepNext w:val="true"/>
              <w:keepLines/>
              <w:snapToGrid w:val="false"/>
              <w:rPr/>
            </w:pPr>
            <w:r>
              <w:rPr/>
            </w:r>
          </w:p>
        </w:tc>
      </w:tr>
    </w:tbl>
    <w:p>
      <w:pPr>
        <w:pStyle w:val="Normal"/>
        <w:rPr/>
      </w:pPr>
      <w:r>
        <w:rPr/>
      </w:r>
    </w:p>
    <w:p>
      <w:pPr>
        <w:pStyle w:val="Normal"/>
        <w:rPr/>
      </w:pPr>
      <w:r>
        <w:rPr/>
      </w:r>
    </w:p>
    <w:p>
      <w:pPr>
        <w:pStyle w:val="CenteredHdg"/>
        <w:rPr/>
      </w:pPr>
      <w:r>
        <w:rPr/>
        <w:t>CERTIFICATE OF SERVICE</w:t>
      </w:r>
    </w:p>
    <w:p>
      <w:pPr>
        <w:pStyle w:val="Double"/>
        <w:rPr/>
      </w:pPr>
      <w:r>
        <w:rPr/>
        <w:tab/>
        <w:t>I certify that a copy of this memorandum of law was mailed on August ____, 2001 to:</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pPr>
            <w:r>
              <w:rPr/>
              <w:t>Nancy A. Cousins, Esq.</w:t>
            </w:r>
          </w:p>
          <w:p>
            <w:pPr>
              <w:pStyle w:val="Normal"/>
              <w:rPr/>
            </w:pPr>
            <w:r>
              <w:rPr/>
              <w:t>Assistant City Attorney</w:t>
            </w:r>
          </w:p>
          <w:p>
            <w:pPr>
              <w:pStyle w:val="Normal"/>
              <w:rPr/>
            </w:pPr>
            <w:r>
              <w:rPr/>
              <w:t>City of Coconut Creek</w:t>
            </w:r>
          </w:p>
          <w:p>
            <w:pPr>
              <w:pStyle w:val="Normal"/>
              <w:rPr/>
            </w:pPr>
            <w:r>
              <w:rPr/>
              <w:t>4800 West Copans Road</w:t>
            </w:r>
          </w:p>
          <w:p>
            <w:pPr>
              <w:pStyle w:val="Normal"/>
              <w:rPr/>
            </w:pPr>
            <w:r>
              <w:rPr/>
              <w:t>Coconut Creek, Florida 33063</w:t>
            </w:r>
          </w:p>
        </w:tc>
        <w:tc>
          <w:tcPr>
            <w:tcW w:w="4788" w:type="dxa"/>
            <w:tcBorders/>
          </w:tcPr>
          <w:p>
            <w:pPr>
              <w:pStyle w:val="Normal"/>
              <w:rPr/>
            </w:pPr>
            <w:r>
              <w:rPr/>
              <w:t>Jeffrey Gilbert, Esq.</w:t>
            </w:r>
          </w:p>
          <w:p>
            <w:pPr>
              <w:pStyle w:val="Normal"/>
              <w:rPr/>
            </w:pPr>
            <w:r>
              <w:rPr/>
              <w:t>Greenberg Traurig, P.A.</w:t>
            </w:r>
          </w:p>
          <w:p>
            <w:pPr>
              <w:pStyle w:val="Normal"/>
              <w:rPr/>
            </w:pPr>
            <w:r>
              <w:rPr/>
              <w:t>515 East Las Olas Boulevard</w:t>
            </w:r>
          </w:p>
          <w:p>
            <w:pPr>
              <w:pStyle w:val="Normal"/>
              <w:rPr/>
            </w:pPr>
            <w:r>
              <w:rPr/>
              <w:t>Suite 1500</w:t>
            </w:r>
          </w:p>
          <w:p>
            <w:pPr>
              <w:pStyle w:val="Normal"/>
              <w:rPr/>
            </w:pPr>
            <w:r>
              <w:rPr/>
              <w:t>Ft. Lauderdale, Florida 33301</w:t>
            </w:r>
          </w:p>
        </w:tc>
      </w:tr>
      <w:tr>
        <w:trPr/>
        <w:tc>
          <w:tcPr>
            <w:tcW w:w="4788" w:type="dxa"/>
            <w:tcBorders/>
          </w:tcPr>
          <w:p>
            <w:pPr>
              <w:pStyle w:val="Normal"/>
              <w:snapToGrid w:val="false"/>
              <w:rPr/>
            </w:pPr>
            <w:r>
              <w:rPr/>
            </w:r>
          </w:p>
        </w:tc>
        <w:tc>
          <w:tcPr>
            <w:tcW w:w="4788" w:type="dxa"/>
            <w:tcBorders/>
          </w:tcPr>
          <w:p>
            <w:pPr>
              <w:pStyle w:val="Normal"/>
              <w:snapToGrid w:val="false"/>
              <w:rPr/>
            </w:pPr>
            <w:r>
              <w:rPr/>
            </w:r>
          </w:p>
        </w:tc>
      </w:tr>
    </w:tbl>
    <w:p>
      <w:pPr>
        <w:pStyle w:val="Normal"/>
        <w:rPr/>
      </w:pPr>
      <w:r>
        <w:rPr/>
      </w:r>
    </w:p>
    <w:p>
      <w:pPr>
        <w:pStyle w:val="Normal"/>
        <w:rPr/>
      </w:pPr>
      <w:r>
        <w:rPr/>
      </w:r>
    </w:p>
    <w:p>
      <w:pPr>
        <w:pStyle w:val="Normal"/>
        <w:rPr/>
      </w:pPr>
      <w:r>
        <w:rPr/>
      </w:r>
    </w:p>
    <w:p>
      <w:pPr>
        <w:pStyle w:val="SignBlock"/>
        <w:rPr/>
      </w:pPr>
      <w:r>
        <w:rPr/>
        <w:tab/>
      </w:r>
      <w:r>
        <w:rPr>
          <w:u w:val="single"/>
        </w:rPr>
        <w:tab/>
        <w:tab/>
      </w:r>
    </w:p>
    <w:p>
      <w:pPr>
        <w:pStyle w:val="SignBlock"/>
        <w:rPr/>
      </w:pPr>
      <w:r>
        <w:rPr/>
      </w:r>
    </w:p>
    <w:p>
      <w:pPr>
        <w:pStyle w:val="Normal"/>
        <w:rPr/>
      </w:pPr>
      <w:r>
        <w:rPr/>
      </w:r>
    </w:p>
    <w:p>
      <w:pPr>
        <w:pStyle w:val="Normal"/>
        <w:rPr/>
      </w:pPr>
      <w:r>
        <w:rPr/>
      </w:r>
    </w:p>
    <w:p>
      <w:pPr>
        <w:pStyle w:val="Normal"/>
        <w:spacing w:before="720" w:after="0"/>
        <w:rPr>
          <w:sz w:val="16"/>
        </w:rPr>
      </w:pPr>
      <w:bookmarkStart w:id="0" w:name="lpDocsInfo"/>
      <w:r>
        <w:rPr>
          <w:sz w:val="16"/>
        </w:rPr>
        <w:fldChar w:fldCharType="begin"/>
      </w:r>
      <w:r>
        <w:rPr>
          <w:sz w:val="16"/>
        </w:rPr>
        <w:instrText xml:space="preserve"> DOCPROPERTY "gtTagLine"</w:instrText>
      </w:r>
      <w:r>
        <w:rPr>
          <w:sz w:val="16"/>
        </w:rPr>
        <w:fldChar w:fldCharType="separate"/>
      </w:r>
      <w:r>
        <w:rPr>
          <w:sz w:val="16"/>
        </w:rPr>
        <w:t>\\MIA-SRV01\SCHERKERE\1327780v01\SG$S01!.DOC\7/30/01\42292.011200</w:t>
      </w:r>
      <w:r>
        <w:rPr>
          <w:sz w:val="16"/>
        </w:rPr>
        <w:fldChar w:fldCharType="end"/>
      </w:r>
      <w:bookmarkEnd w:id="0"/>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936"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G Times Bold">
    <w:altName w:val="CG Times"/>
    <w:charset w:val="00" w:characterSet="windows-1252"/>
    <w:family w:val="roman"/>
    <w:pitch w:val="variable"/>
  </w:font>
  <w:font w:name="Liberation Sans">
    <w:altName w:val="Arial"/>
    <w:charset w:val="01" w:characterSet="utf-8"/>
    <w:family w:val="swiss"/>
    <w:pitch w:val="variable"/>
  </w:font>
  <w:font w:name="Calisto M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Normal"/>
                            <w:rPr/>
                          </w:pPr>
                          <w:r>
                            <w:rPr/>
                            <w:fldChar w:fldCharType="begin"/>
                          </w:r>
                          <w:r>
                            <w:rPr/>
                            <w:instrText xml:space="preserve"> PAGE </w:instrText>
                          </w:r>
                          <w:r>
                            <w:rPr/>
                            <w:fldChar w:fldCharType="separate"/>
                          </w:r>
                          <w:r>
                            <w:rPr/>
                            <w:t>9</w:t>
                          </w:r>
                          <w: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Normal"/>
                      <w:rPr/>
                    </w:pPr>
                    <w:r>
                      <w:rPr/>
                      <w:fldChar w:fldCharType="begin"/>
                    </w:r>
                    <w:r>
                      <w:rPr/>
                      <w:instrText xml:space="preserve"> PAGE </w:instrText>
                    </w:r>
                    <w:r>
                      <w:rPr/>
                      <w:fldChar w:fldCharType="separate"/>
                    </w:r>
                    <w:r>
                      <w:rPr/>
                      <w:t>9</w:t>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ind w:hanging="720" w:start="720" w:end="0"/>
        <w:rPr/>
      </w:pPr>
      <w:r>
        <w:rPr>
          <w:rStyle w:val="FootnoteCharacters"/>
        </w:rPr>
        <w:footnoteRef/>
      </w:r>
      <w:r>
        <w:rPr/>
        <w:t xml:space="preserve"> </w:t>
      </w:r>
      <w:r>
        <w:rPr/>
        <w:tab/>
        <w:t>A copy of the DRC’s ruling is attached hereto as Exhibit A.</w:t>
      </w:r>
    </w:p>
  </w:footnote>
  <w:footnote w:id="3">
    <w:p>
      <w:pPr>
        <w:pStyle w:val="FootnoteText"/>
        <w:spacing w:before="0" w:after="120"/>
        <w:jc w:val="both"/>
        <w:rPr/>
      </w:pPr>
      <w:r>
        <w:rPr>
          <w:rStyle w:val="FootnoteCharacters"/>
        </w:rPr>
        <w:footnoteRef/>
      </w:r>
      <w:r>
        <w:rPr/>
        <w:t xml:space="preserve"> </w:t>
      </w:r>
      <w:r>
        <w:rPr/>
        <w:tab/>
        <w:t xml:space="preserve">So intent is Coconut Creek on bringing this action as an </w:t>
      </w:r>
      <w:r>
        <w:rPr>
          <w:i/>
          <w:iCs/>
        </w:rPr>
        <w:t>original</w:t>
      </w:r>
      <w:r>
        <w:rPr/>
        <w:t xml:space="preserve"> proceeding that it has denominated itself as the </w:t>
      </w:r>
      <w:r>
        <w:rPr>
          <w:i/>
          <w:iCs/>
        </w:rPr>
        <w:t>plaintiff</w:t>
      </w:r>
      <w:r>
        <w:rPr/>
        <w:t xml:space="preserve"> in the certiorari count.  The proper designation of the party bringing an appellate certiorari proceeding under Rule 9.100 is the </w:t>
      </w:r>
      <w:r>
        <w:rPr>
          <w:i/>
          <w:iCs/>
        </w:rPr>
        <w:t>petitioner.</w:t>
      </w:r>
      <w:r>
        <w:rPr/>
        <w:t xml:space="preserve">  Fla.R.App.P. 9.020(g)(3) (“petitioner” is “[a] party who seeks an order under rule 9.100”).</w:t>
      </w:r>
    </w:p>
  </w:footnote>
  <w:footnote w:id="4">
    <w:p>
      <w:pPr>
        <w:pStyle w:val="FootnoteText"/>
        <w:spacing w:before="0" w:after="120"/>
        <w:jc w:val="both"/>
        <w:rPr/>
      </w:pPr>
      <w:r>
        <w:rPr>
          <w:rStyle w:val="FootnoteCharacters"/>
        </w:rPr>
        <w:footnoteRef/>
      </w:r>
      <w:r>
        <w:rPr/>
        <w:t xml:space="preserve"> </w:t>
      </w:r>
      <w:r>
        <w:rPr/>
        <w:tab/>
        <w:t>Coconut Creek has failed to supply the Court with even the most fundamental component of the required appendix – the lower tribunal’s order.  Fla.R.App.P. 9.220.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pPr>
    <w:r>
      <w:rPr/>
      <w:t>CASE NO. 01-012055</w:t>
    </w:r>
  </w:p>
  <w:p>
    <w:pPr>
      <w:pStyle w:val="Normal"/>
      <w:rPr/>
    </w:pPr>
    <w:r>
      <w:rPr/>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lvl>
    <w:lvl w:ilvl="1">
      <w:start w:val="1"/>
      <w:pStyle w:val="Heading2"/>
      <w:numFmt w:val="upperLetter"/>
      <w:lvlText w:val="%2."/>
      <w:lvlJc w:val="start"/>
      <w:pPr>
        <w:tabs>
          <w:tab w:val="num" w:pos="1440"/>
        </w:tabs>
        <w:ind w:start="1440" w:hanging="720"/>
      </w:pPr>
      <w:rPr/>
    </w:lvl>
    <w:lvl w:ilvl="2">
      <w:start w:val="1"/>
      <w:pStyle w:val="Heading3"/>
      <w:numFmt w:val="decimal"/>
      <w:lvlText w:val="(%3)"/>
      <w:lvlJc w:val="start"/>
      <w:pPr>
        <w:tabs>
          <w:tab w:val="num" w:pos="2160"/>
        </w:tabs>
        <w:ind w:start="2160" w:hanging="720"/>
      </w:pPr>
      <w:rPr/>
    </w:lvl>
    <w:lvl w:ilvl="3">
      <w:start w:val="1"/>
      <w:pStyle w:val="Heading4"/>
      <w:numFmt w:val="lowerLetter"/>
      <w:lvlText w:val="(%4)"/>
      <w:lvlJc w:val="start"/>
      <w:pPr>
        <w:tabs>
          <w:tab w:val="num" w:pos="2880"/>
        </w:tabs>
        <w:ind w:start="2880" w:hanging="720"/>
      </w:pPr>
      <w:rPr/>
    </w:lvl>
    <w:lvl w:ilvl="4">
      <w:start w:val="1"/>
      <w:pStyle w:val="Heading5"/>
      <w:numFmt w:val="lowerRoman"/>
      <w:lvlText w:val="(%5)"/>
      <w:lvlJc w:val="start"/>
      <w:pPr>
        <w:tabs>
          <w:tab w:val="num" w:pos="3600"/>
        </w:tabs>
        <w:ind w:start="3600" w:hanging="720"/>
      </w:pPr>
      <w:rPr/>
    </w:lvl>
    <w:lvl w:ilvl="5">
      <w:start w:val="1"/>
      <w:pStyle w:val="Heading6"/>
      <w:numFmt w:val="decimal"/>
      <w:lvlText w:val="%6."/>
      <w:lvlJc w:val="start"/>
      <w:pPr>
        <w:tabs>
          <w:tab w:val="num" w:pos="4320"/>
        </w:tabs>
        <w:ind w:start="4320" w:hanging="720"/>
      </w:pPr>
      <w:rPr/>
    </w:lvl>
    <w:lvl w:ilvl="6">
      <w:start w:val="1"/>
      <w:pStyle w:val="Heading7"/>
      <w:numFmt w:val="lowerLetter"/>
      <w:lvlText w:val="%7."/>
      <w:lvlJc w:val="start"/>
      <w:pPr>
        <w:tabs>
          <w:tab w:val="num" w:pos="5040"/>
        </w:tabs>
        <w:ind w:start="5040" w:hanging="720"/>
      </w:pPr>
      <w:rPr/>
    </w:lvl>
    <w:lvl w:ilvl="7">
      <w:start w:val="1"/>
      <w:pStyle w:val="Heading8"/>
      <w:numFmt w:val="lowerRoman"/>
      <w:lvlText w:val="%8."/>
      <w:lvlJc w:val="start"/>
      <w:pPr>
        <w:tabs>
          <w:tab w:val="num" w:pos="5760"/>
        </w:tabs>
        <w:ind w:start="5760" w:hanging="720"/>
      </w:pPr>
      <w:rPr/>
    </w:lvl>
    <w:lvl w:ilvl="8">
      <w:start w:val="1"/>
      <w:pStyle w:val="Heading9"/>
      <w:numFmt w:val="decimal"/>
      <w:lvlText w:val="%9)"/>
      <w:lvlJc w:val="start"/>
      <w:pPr>
        <w:tabs>
          <w:tab w:val="num" w:pos="6480"/>
        </w:tabs>
        <w:ind w:start="6480" w:hanging="720"/>
      </w:pPr>
      <w:r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gtTLAUPref" w:val="0"/>
    <w:docVar w:name="gtTLDlgPref" w:val="Last page;36 points;Left;8;1;1;1;1;1;1;0"/>
    <w:docVar w:name="gtTLStatus" w:val="updateabl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left" w:pos="720" w:leader="none"/>
        <w:tab w:val="left" w:pos="1440" w:leader="none"/>
        <w:tab w:val="left" w:pos="2160" w:leader="none"/>
        <w:tab w:val="left" w:pos="5040" w:leader="none"/>
      </w:tabs>
      <w:suppressAutoHyphens w:val="true"/>
      <w:bidi w:val="0"/>
    </w:pPr>
    <w:rPr>
      <w:rFonts w:ascii="CG Times;CG Times" w:hAnsi="CG Times;CG Times" w:eastAsia="Times New Roman" w:cs="CG Times;CG Times"/>
      <w:color w:val="auto"/>
      <w:sz w:val="24"/>
      <w:szCs w:val="24"/>
      <w:lang w:val="en-US" w:bidi="ar-SA" w:eastAsia="zh-CN"/>
    </w:rPr>
  </w:style>
  <w:style w:type="paragraph" w:styleId="Heading1">
    <w:name w:val="heading 1"/>
    <w:basedOn w:val="Normal"/>
    <w:next w:val="Double"/>
    <w:qFormat/>
    <w:pPr>
      <w:keepNext w:val="true"/>
      <w:numPr>
        <w:ilvl w:val="0"/>
        <w:numId w:val="1"/>
      </w:numPr>
      <w:spacing w:before="0" w:after="120"/>
      <w:ind w:hanging="0" w:start="0" w:end="720"/>
      <w:outlineLvl w:val="0"/>
    </w:pPr>
    <w:rPr>
      <w:rFonts w:ascii="CG Times Bold;CG Times" w:hAnsi="CG Times Bold;CG Times" w:cs="CG Times Bold;CG Times"/>
      <w:b/>
    </w:rPr>
  </w:style>
  <w:style w:type="paragraph" w:styleId="Heading2">
    <w:name w:val="heading 2"/>
    <w:basedOn w:val="Heading1"/>
    <w:next w:val="Double"/>
    <w:qFormat/>
    <w:pPr>
      <w:numPr>
        <w:ilvl w:val="1"/>
        <w:numId w:val="1"/>
      </w:numPr>
      <w:outlineLvl w:val="1"/>
    </w:pPr>
    <w:rPr/>
  </w:style>
  <w:style w:type="paragraph" w:styleId="Heading3">
    <w:name w:val="heading 3"/>
    <w:basedOn w:val="Heading2"/>
    <w:next w:val="Double"/>
    <w:qFormat/>
    <w:pPr>
      <w:numPr>
        <w:ilvl w:val="2"/>
        <w:numId w:val="1"/>
      </w:numPr>
      <w:outlineLvl w:val="2"/>
    </w:pPr>
    <w:rPr/>
  </w:style>
  <w:style w:type="paragraph" w:styleId="Heading4">
    <w:name w:val="heading 4"/>
    <w:basedOn w:val="Heading3"/>
    <w:next w:val="Double"/>
    <w:qFormat/>
    <w:pPr>
      <w:numPr>
        <w:ilvl w:val="3"/>
        <w:numId w:val="1"/>
      </w:numPr>
      <w:outlineLvl w:val="3"/>
    </w:pPr>
    <w:rPr/>
  </w:style>
  <w:style w:type="paragraph" w:styleId="Heading5">
    <w:name w:val="heading 5"/>
    <w:basedOn w:val="Heading1"/>
    <w:next w:val="Double"/>
    <w:qFormat/>
    <w:pPr>
      <w:numPr>
        <w:ilvl w:val="4"/>
        <w:numId w:val="1"/>
      </w:numPr>
      <w:outlineLvl w:val="4"/>
    </w:pPr>
    <w:rPr/>
  </w:style>
  <w:style w:type="paragraph" w:styleId="Heading6">
    <w:name w:val="heading 6"/>
    <w:basedOn w:val="Heading1"/>
    <w:next w:val="Double"/>
    <w:qFormat/>
    <w:pPr>
      <w:numPr>
        <w:ilvl w:val="5"/>
        <w:numId w:val="1"/>
      </w:numPr>
      <w:outlineLvl w:val="5"/>
    </w:pPr>
    <w:rPr/>
  </w:style>
  <w:style w:type="paragraph" w:styleId="Heading7">
    <w:name w:val="heading 7"/>
    <w:basedOn w:val="Heading6"/>
    <w:next w:val="Double"/>
    <w:qFormat/>
    <w:pPr>
      <w:numPr>
        <w:ilvl w:val="6"/>
        <w:numId w:val="1"/>
      </w:numPr>
      <w:outlineLvl w:val="6"/>
    </w:pPr>
    <w:rPr/>
  </w:style>
  <w:style w:type="paragraph" w:styleId="Heading8">
    <w:name w:val="heading 8"/>
    <w:basedOn w:val="Heading7"/>
    <w:next w:val="Double"/>
    <w:qFormat/>
    <w:pPr>
      <w:numPr>
        <w:ilvl w:val="7"/>
        <w:numId w:val="1"/>
      </w:numPr>
      <w:outlineLvl w:val="7"/>
    </w:pPr>
    <w:rPr/>
  </w:style>
  <w:style w:type="paragraph" w:styleId="Heading9">
    <w:name w:val="heading 9"/>
    <w:basedOn w:val="Heading8"/>
    <w:next w:val="Double"/>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DefaultParagraphFont">
    <w:name w:val="Default Paragraph Font"/>
    <w:qFormat/>
    <w:rPr/>
  </w:style>
  <w:style w:type="character" w:styleId="FootnoteCharacters">
    <w:name w:val="Footnote Characters"/>
    <w:basedOn w:val="DefaultParagraphFont"/>
    <w:qFormat/>
    <w:rPr>
      <w:rFonts w:ascii="CG Times;CG Times" w:hAnsi="CG Times;CG Times" w:cs="CG Times;CG Times"/>
      <w:sz w:val="24"/>
      <w:u w:val="none"/>
      <w:vertAlign w:val="superscript"/>
    </w:rPr>
  </w:style>
  <w:style w:type="character" w:styleId="PageNumber">
    <w:name w:val="page number"/>
    <w:basedOn w:val="DefaultParagraphFont"/>
    <w:rPr>
      <w:rFonts w:ascii="CG Times;CG Times" w:hAnsi="CG Times;CG Times" w:cs="CG Times;CG Times"/>
      <w:sz w:val="24"/>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enteredSM">
    <w:name w:val="Centered/SM"/>
    <w:basedOn w:val="Normal"/>
    <w:next w:val="Double"/>
    <w:qFormat/>
    <w:pPr>
      <w:keepNext w:val="true"/>
      <w:spacing w:before="0" w:after="120"/>
      <w:ind w:hanging="0" w:start="1440" w:end="1440"/>
      <w:jc w:val="center"/>
    </w:pPr>
    <w:rPr>
      <w:rFonts w:ascii="CG Times Bold;CG Times" w:hAnsi="CG Times Bold;CG Times" w:cs="CG Times Bold;CG Times"/>
      <w:b/>
      <w:smallCaps/>
    </w:rPr>
  </w:style>
  <w:style w:type="paragraph" w:styleId="CenteredHdg">
    <w:name w:val="CenteredHdg."/>
    <w:basedOn w:val="Normal"/>
    <w:next w:val="Double"/>
    <w:qFormat/>
    <w:pPr>
      <w:keepNext w:val="true"/>
      <w:spacing w:before="0" w:after="120"/>
      <w:ind w:hanging="0" w:start="1440" w:end="1440"/>
      <w:jc w:val="center"/>
    </w:pPr>
    <w:rPr>
      <w:rFonts w:ascii="CG Times Bold;CG Times" w:hAnsi="CG Times Bold;CG Times" w:cs="CG Times Bold;CG Times"/>
      <w:b/>
      <w:caps/>
    </w:rPr>
  </w:style>
  <w:style w:type="paragraph" w:styleId="Double">
    <w:name w:val="Double"/>
    <w:basedOn w:val="Normal"/>
    <w:qFormat/>
    <w:pPr>
      <w:spacing w:lineRule="exact" w:line="480"/>
      <w:jc w:val="both"/>
    </w:pPr>
    <w:rPr/>
  </w:style>
  <w:style w:type="paragraph" w:styleId="DoubleLine">
    <w:name w:val="DoubleLine"/>
    <w:basedOn w:val="Normal"/>
    <w:next w:val="Normal"/>
    <w:qFormat/>
    <w:pPr>
      <w:tabs>
        <w:tab w:val="clear" w:pos="720"/>
        <w:tab w:val="clear" w:pos="1440"/>
        <w:tab w:val="clear" w:pos="2160"/>
        <w:tab w:val="clear" w:pos="5040"/>
        <w:tab w:val="right" w:pos="9360" w:leader="none"/>
      </w:tabs>
    </w:pPr>
    <w:rPr>
      <w:rFonts w:ascii="Calisto MT" w:hAnsi="Calisto MT" w:cs="Calisto MT"/>
      <w:u w:val="double"/>
    </w:rPr>
  </w:style>
  <w:style w:type="paragraph" w:styleId="HeaderandFooter">
    <w:name w:val="Header and Footer"/>
    <w:basedOn w:val="Normal"/>
    <w:qFormat/>
    <w:pPr>
      <w:suppressLineNumbers/>
      <w:tabs>
        <w:tab w:val="clear" w:pos="720"/>
        <w:tab w:val="clear" w:pos="1440"/>
        <w:tab w:val="clear" w:pos="2160"/>
        <w:tab w:val="clear" w:pos="5040"/>
        <w:tab w:val="center" w:pos="4986" w:leader="none"/>
        <w:tab w:val="right" w:pos="9972" w:leader="none"/>
      </w:tabs>
    </w:pPr>
    <w:rPr/>
  </w:style>
  <w:style w:type="paragraph" w:styleId="Footer">
    <w:name w:val="footer"/>
    <w:basedOn w:val="Normal"/>
    <w:pPr/>
    <w:rPr/>
  </w:style>
  <w:style w:type="paragraph" w:styleId="FootnoteText">
    <w:name w:val="footnote text"/>
    <w:basedOn w:val="Normal"/>
    <w:pPr>
      <w:spacing w:before="0" w:after="120"/>
      <w:ind w:hanging="720" w:start="720" w:end="0"/>
    </w:pPr>
    <w:rPr/>
  </w:style>
  <w:style w:type="paragraph" w:styleId="Header">
    <w:name w:val="header"/>
    <w:basedOn w:val="Normal"/>
    <w:pPr/>
    <w:rPr/>
  </w:style>
  <w:style w:type="paragraph" w:styleId="QuoteFootnote">
    <w:name w:val="QuoteFootnote"/>
    <w:basedOn w:val="FootnoteText"/>
    <w:next w:val="FootnoteText"/>
    <w:qFormat/>
    <w:pPr>
      <w:ind w:hanging="0" w:start="1440" w:end="720"/>
    </w:pPr>
    <w:rPr/>
  </w:style>
  <w:style w:type="paragraph" w:styleId="QuoteIndent">
    <w:name w:val="QuoteIndent"/>
    <w:basedOn w:val="Normal"/>
    <w:next w:val="Double"/>
    <w:qFormat/>
    <w:pPr>
      <w:spacing w:before="200" w:after="160"/>
      <w:ind w:hanging="0" w:start="720" w:end="720"/>
      <w:jc w:val="both"/>
    </w:pPr>
    <w:rPr/>
  </w:style>
  <w:style w:type="paragraph" w:styleId="Separator">
    <w:name w:val="Separator"/>
    <w:basedOn w:val="Normal"/>
    <w:qFormat/>
    <w:pPr/>
    <w:rPr/>
  </w:style>
  <w:style w:type="paragraph" w:styleId="SignBlock">
    <w:name w:val="SignBlock"/>
    <w:basedOn w:val="Normal"/>
    <w:qFormat/>
    <w:pPr>
      <w:tabs>
        <w:tab w:val="clear" w:pos="720"/>
        <w:tab w:val="clear" w:pos="1440"/>
        <w:tab w:val="clear" w:pos="2160"/>
        <w:tab w:val="left" w:pos="5040" w:leader="none"/>
        <w:tab w:val="center" w:pos="7200" w:leader="none"/>
        <w:tab w:val="left" w:pos="9360" w:leader="none"/>
      </w:tabs>
    </w:pPr>
    <w:rPr/>
  </w:style>
  <w:style w:type="paragraph" w:styleId="Subsection">
    <w:name w:val="Subsection"/>
    <w:basedOn w:val="QuoteIndent"/>
    <w:next w:val="Double"/>
    <w:qFormat/>
    <w:pPr>
      <w:keepNext w:val="true"/>
      <w:spacing w:before="120" w:after="120"/>
    </w:pPr>
    <w:rPr>
      <w:b/>
    </w:rPr>
  </w:style>
  <w:style w:type="paragraph" w:styleId="TableofAuthorities">
    <w:name w:val="Table of Authorities"/>
    <w:basedOn w:val="Normal"/>
    <w:next w:val="Normal"/>
    <w:qFormat/>
    <w:pPr>
      <w:keepLines/>
      <w:tabs>
        <w:tab w:val="left" w:pos="720" w:leader="none"/>
        <w:tab w:val="left" w:pos="1440" w:leader="none"/>
        <w:tab w:val="left" w:pos="2160" w:leader="none"/>
        <w:tab w:val="left" w:pos="5040" w:leader="none"/>
        <w:tab w:val="right" w:pos="9360" w:leader="dot"/>
      </w:tabs>
      <w:spacing w:before="0" w:after="240"/>
      <w:ind w:hanging="720" w:start="720" w:end="1440"/>
    </w:pPr>
    <w:rPr/>
  </w:style>
  <w:style w:type="paragraph" w:styleId="TOAHeading">
    <w:name w:val="TOA Heading"/>
    <w:basedOn w:val="Normal"/>
    <w:next w:val="TableofAuthorities"/>
    <w:qFormat/>
    <w:pPr>
      <w:keepNext w:val="true"/>
      <w:spacing w:before="0" w:after="240"/>
      <w:jc w:val="center"/>
    </w:pPr>
    <w:rPr>
      <w:rFonts w:ascii="CG Times Bold;CG Times" w:hAnsi="CG Times Bold;CG Times" w:cs="CG Times Bold;CG Times"/>
      <w:b/>
    </w:rPr>
  </w:style>
  <w:style w:type="paragraph" w:styleId="TOC1">
    <w:name w:val="toc 1"/>
    <w:basedOn w:val="Normal"/>
    <w:pPr>
      <w:tabs>
        <w:tab w:val="clear" w:pos="720"/>
        <w:tab w:val="clear" w:pos="1440"/>
        <w:tab w:val="clear" w:pos="2160"/>
        <w:tab w:val="clear" w:pos="5040"/>
        <w:tab w:val="right" w:pos="9360" w:leader="dot"/>
      </w:tabs>
      <w:spacing w:before="0" w:after="240"/>
      <w:ind w:hanging="720" w:start="720" w:end="1440"/>
    </w:pPr>
    <w:rPr/>
  </w:style>
  <w:style w:type="paragraph" w:styleId="TOC2">
    <w:name w:val="toc 2"/>
    <w:basedOn w:val="TOC1"/>
    <w:pPr>
      <w:tabs>
        <w:tab w:val="left" w:pos="1440" w:leader="none"/>
        <w:tab w:val="right" w:pos="9360" w:leader="dot"/>
      </w:tabs>
      <w:ind w:hanging="720" w:start="1440" w:end="1440"/>
    </w:pPr>
    <w:rPr/>
  </w:style>
  <w:style w:type="paragraph" w:styleId="TOC3">
    <w:name w:val="toc 3"/>
    <w:basedOn w:val="TOC2"/>
    <w:pPr>
      <w:tabs>
        <w:tab w:val="left" w:pos="1440" w:leader="none"/>
        <w:tab w:val="left" w:pos="2160" w:leader="none"/>
        <w:tab w:val="right" w:pos="9360" w:leader="dot"/>
      </w:tabs>
      <w:ind w:hanging="720" w:start="2160" w:end="1440"/>
    </w:pPr>
    <w:rPr/>
  </w:style>
  <w:style w:type="paragraph" w:styleId="TOC4">
    <w:name w:val="toc 4"/>
    <w:basedOn w:val="TOC3"/>
    <w:pPr>
      <w:tabs>
        <w:tab w:val="left" w:pos="1440" w:leader="none"/>
        <w:tab w:val="left" w:pos="2160" w:leader="none"/>
        <w:tab w:val="left" w:pos="2880" w:leader="none"/>
        <w:tab w:val="right" w:pos="9360" w:leader="dot"/>
      </w:tabs>
      <w:ind w:hanging="720" w:start="2880" w:end="1440"/>
    </w:pPr>
    <w:rPr/>
  </w:style>
  <w:style w:type="paragraph" w:styleId="TOC5">
    <w:name w:val="toc 5"/>
    <w:basedOn w:val="TOC4"/>
    <w:pPr>
      <w:tabs>
        <w:tab w:val="left" w:pos="1440" w:leader="none"/>
        <w:tab w:val="left" w:pos="2160" w:leader="none"/>
        <w:tab w:val="left" w:pos="2880" w:leader="none"/>
        <w:tab w:val="left" w:pos="3600" w:leader="none"/>
        <w:tab w:val="right" w:pos="9360" w:leader="dot"/>
      </w:tabs>
      <w:ind w:hanging="720" w:start="3600" w:end="1440"/>
    </w:pPr>
    <w:rPr/>
  </w:style>
  <w:style w:type="paragraph" w:styleId="TOC6">
    <w:name w:val="toc 6"/>
    <w:basedOn w:val="TOC5"/>
    <w:next w:val="Normal"/>
    <w:pPr>
      <w:tabs>
        <w:tab w:val="left" w:pos="1440" w:leader="none"/>
        <w:tab w:val="left" w:pos="2160" w:leader="none"/>
        <w:tab w:val="left" w:pos="2880" w:leader="none"/>
        <w:tab w:val="left" w:pos="3600" w:leader="none"/>
        <w:tab w:val="left" w:pos="4320" w:leader="none"/>
        <w:tab w:val="right" w:pos="9360" w:leader="dot"/>
      </w:tabs>
      <w:ind w:hanging="720" w:start="4320" w:end="1440"/>
    </w:pPr>
    <w:rPr/>
  </w:style>
  <w:style w:type="paragraph" w:styleId="TOC7">
    <w:name w:val="toc 7"/>
    <w:basedOn w:val="TOC6"/>
    <w:pPr>
      <w:tabs>
        <w:tab w:val="left" w:pos="1440" w:leader="none"/>
        <w:tab w:val="left" w:pos="2160" w:leader="none"/>
        <w:tab w:val="left" w:pos="2880" w:leader="none"/>
        <w:tab w:val="left" w:pos="3600" w:leader="none"/>
        <w:tab w:val="left" w:pos="4320" w:leader="none"/>
        <w:tab w:val="left" w:pos="5040" w:leader="none"/>
        <w:tab w:val="right" w:pos="9360" w:leader="dot"/>
      </w:tabs>
      <w:ind w:hanging="720" w:start="5040" w:end="1440"/>
    </w:pPr>
    <w:rPr/>
  </w:style>
  <w:style w:type="paragraph" w:styleId="TOC8">
    <w:name w:val="toc 8"/>
    <w:basedOn w:val="TOC7"/>
    <w:next w:val="Normal"/>
    <w:pPr>
      <w:tabs>
        <w:tab w:val="left" w:pos="1440" w:leader="none"/>
        <w:tab w:val="left" w:pos="2160" w:leader="none"/>
        <w:tab w:val="left" w:pos="2880" w:leader="none"/>
        <w:tab w:val="left" w:pos="3600" w:leader="none"/>
        <w:tab w:val="left" w:pos="4320" w:leader="none"/>
        <w:tab w:val="left" w:pos="5040" w:leader="none"/>
        <w:tab w:val="left" w:pos="5760" w:leader="none"/>
        <w:tab w:val="right" w:pos="9360" w:leader="dot"/>
      </w:tabs>
      <w:ind w:hanging="720" w:start="5760" w:end="1440"/>
    </w:pPr>
    <w:rPr/>
  </w:style>
  <w:style w:type="paragraph" w:styleId="TOC9">
    <w:name w:val="toc 9"/>
    <w:basedOn w:val="TOC8"/>
    <w:p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right" w:pos="9360" w:leader="dot"/>
      </w:tabs>
      <w:ind w:hanging="720" w:start="6480" w:end="1440"/>
    </w:pPr>
    <w:rPr/>
  </w:style>
  <w:style w:type="paragraph" w:styleId="SingleSpacing">
    <w:name w:val="Single Spacing"/>
    <w:basedOn w:val="Normal"/>
    <w:qFormat/>
    <w:pPr>
      <w:tabs>
        <w:tab w:val="clear" w:pos="720"/>
        <w:tab w:val="clear" w:pos="1440"/>
        <w:tab w:val="clear" w:pos="2160"/>
        <w:tab w:val="clear" w:pos="5040"/>
      </w:tabs>
      <w:overflowPunct w:val="false"/>
      <w:autoSpaceDE w:val="false"/>
      <w:jc w:val="both"/>
      <w:textAlignment w:val="baseline"/>
    </w:pPr>
    <w:rPr>
      <w:rFonts w:ascii="Times New Roman" w:hAnsi="Times New Roman" w:cs="Times New Roman"/>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Pleading--Circuit Court.dot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2001-07-30T17:25:00Z</dcterms:created>
  <dc:creator>scherkere</dc:creator>
  <dc:description/>
  <dc:language>en-CA</dc:language>
  <cp:lastModifiedBy>scherkere</cp:lastModifiedBy>
  <cp:lastPrinted>2001-07-30T15:29:00Z</cp:lastPrinted>
  <dcterms:modified xsi:type="dcterms:W3CDTF">2001-07-30T17:25:00Z</dcterms:modified>
  <cp:revision>2</cp:revision>
  <dc:subject/>
  <dc:title>IN THE CIRCUIT COURT OF THE JUDICIAL CIRCUIT IN AND FOR COUNTY, FLORIDA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TagLine">
    <vt:lpwstr>\\MIA-SRV01\SCHERKERE\1327780v01\SG$S01!.DOC\7/30/01\42292.011200</vt:lpwstr>
  </property>
</Properties>
</file>