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Soussan Faiz</w:t>
      </w:r>
    </w:p>
    <w:p>
      <w:pPr>
        <w:pStyle w:val="Normal"/>
        <w:jc w:val="both"/>
        <w:rPr/>
      </w:pPr>
      <w:r>
        <w:rPr/>
      </w:r>
    </w:p>
    <w:p>
      <w:pPr>
        <w:pStyle w:val="Normal"/>
        <w:jc w:val="both"/>
        <w:rPr/>
      </w:pPr>
      <w:hyperlink r:id="rId2">
        <w:r>
          <w:rPr>
            <w:rStyle w:val="Hyperlink"/>
          </w:rPr>
          <w:t xml:space="preserve">63B Park Place, New Canaan, CT 06840.  Ph: 914-253-4187(w), 203-966-7123(h).  </w:t>
        </w:r>
      </w:hyperlink>
      <w:hyperlink r:id="rId3">
        <w:r>
          <w:rPr>
            <w:rStyle w:val="Hyperlink"/>
          </w:rPr>
          <w:t>FaizS@Texaco.com</w:t>
        </w:r>
      </w:hyperlink>
    </w:p>
    <w:p>
      <w:pPr>
        <w:pStyle w:val="Normal"/>
        <w:jc w:val="both"/>
        <w:rPr/>
      </w:pPr>
      <w:r>
        <w:rPr/>
      </w:r>
    </w:p>
    <w:p>
      <w:pPr>
        <w:pStyle w:val="Normal"/>
        <w:jc w:val="both"/>
        <w:rPr/>
      </w:pPr>
      <w:r>
        <w:rPr>
          <w:b/>
          <w:i/>
          <w:sz w:val="22"/>
        </w:rPr>
        <w:t>Objective:</w:t>
      </w:r>
      <w:r>
        <w:rPr>
          <w:i/>
        </w:rPr>
        <w:t xml:space="preserve"> A leadership advisory position to executive management on enhancing shareholder value and strategic decision-making issues.  Implement seamless advanced solutions across the firm’s value web, in the areas of: Real Options Valuation; Portfolio Optimization and Strategic Resource Allocation; Enterprise Risk Management; Value-based Performance Management; and Strategic Thinking.</w:t>
      </w:r>
    </w:p>
    <w:p>
      <w:pPr>
        <w:pStyle w:val="Normal"/>
        <w:jc w:val="both"/>
        <w:rPr>
          <w:i/>
          <w:i/>
        </w:rPr>
      </w:pPr>
      <w:r>
        <w:rPr>
          <w:i/>
        </w:rPr>
      </w:r>
    </w:p>
    <w:p>
      <w:pPr>
        <w:pStyle w:val="Heading1"/>
        <w:ind w:hanging="0" w:start="0"/>
        <w:jc w:val="both"/>
        <w:rPr/>
      </w:pPr>
      <w:r>
        <w:rPr/>
        <w:t>Capabilities and Strengths Profile</w:t>
      </w:r>
    </w:p>
    <w:p>
      <w:pPr>
        <w:pStyle w:val="Normal"/>
        <w:jc w:val="both"/>
        <w:rPr/>
      </w:pPr>
      <w:r>
        <w:rPr/>
        <w:t xml:space="preserve">My strive for innovation, excellence, value enhancement, and organizational learning has resulted in my: </w:t>
      </w:r>
    </w:p>
    <w:p>
      <w:pPr>
        <w:pStyle w:val="Normal"/>
        <w:numPr>
          <w:ilvl w:val="0"/>
          <w:numId w:val="9"/>
        </w:numPr>
        <w:jc w:val="both"/>
        <w:rPr/>
      </w:pPr>
      <w:r>
        <w:rPr/>
        <w:t>reputation for initiating, leading, and delivering innovative methods and processes that challenge status quo and facilitate long-lasting solutions.  This includes a recent executive nomination for Texaco Fellowship and external recognition by leading academics, management consulting firms, and business practitioners;</w:t>
      </w:r>
    </w:p>
    <w:p>
      <w:pPr>
        <w:pStyle w:val="Normal"/>
        <w:numPr>
          <w:ilvl w:val="0"/>
          <w:numId w:val="9"/>
        </w:numPr>
        <w:jc w:val="both"/>
        <w:rPr/>
      </w:pPr>
      <w:r>
        <w:rPr/>
        <w:t>effective communication and interpersonal skills, the ability to influence and persuade change across all levels of management and cultivate organizational acceptance through results;</w:t>
      </w:r>
    </w:p>
    <w:p>
      <w:pPr>
        <w:pStyle w:val="Normal"/>
        <w:numPr>
          <w:ilvl w:val="0"/>
          <w:numId w:val="9"/>
        </w:numPr>
        <w:jc w:val="both"/>
        <w:rPr/>
      </w:pPr>
      <w:r>
        <w:rPr/>
        <w:t>excellent presentation skills, including extensive experience in conducting internal and external seminars and conferences;</w:t>
      </w:r>
    </w:p>
    <w:p>
      <w:pPr>
        <w:pStyle w:val="Normal"/>
        <w:numPr>
          <w:ilvl w:val="0"/>
          <w:numId w:val="9"/>
        </w:numPr>
        <w:jc w:val="both"/>
        <w:rPr/>
      </w:pPr>
      <w:r>
        <w:rPr/>
        <w:t>high-performance team leadership (membership):  the ability to inspire, direct, organize, and motivate a multi-disciplinary and cross-functional team to deliver the team’s objectives on time, within budget, and often above expectations;</w:t>
      </w:r>
    </w:p>
    <w:p>
      <w:pPr>
        <w:pStyle w:val="Normal"/>
        <w:numPr>
          <w:ilvl w:val="0"/>
          <w:numId w:val="9"/>
        </w:numPr>
        <w:jc w:val="both"/>
        <w:rPr/>
      </w:pPr>
      <w:r>
        <w:rPr/>
        <w:t>21 years of practical experience and credible record in the areas of valuation, portfolio optimization, risk management, value-based performance management, decision and risk analysis, benchmarking, corporate and strategic planning, economic modeling and analysis, financial planning, operations research, resource allocation, management information and decision support systems;</w:t>
      </w:r>
    </w:p>
    <w:p>
      <w:pPr>
        <w:pStyle w:val="Normal"/>
        <w:numPr>
          <w:ilvl w:val="0"/>
          <w:numId w:val="9"/>
        </w:numPr>
        <w:jc w:val="both"/>
        <w:rPr/>
      </w:pPr>
      <w:r>
        <w:rPr/>
        <w:t>developed network of remarkable experts within and outside the energy industry;</w:t>
      </w:r>
    </w:p>
    <w:p>
      <w:pPr>
        <w:pStyle w:val="Normal"/>
        <w:numPr>
          <w:ilvl w:val="0"/>
          <w:numId w:val="9"/>
        </w:numPr>
        <w:jc w:val="both"/>
        <w:rPr/>
      </w:pPr>
      <w:r>
        <w:rPr/>
        <w:t>solid analytical ability and creative approach to problem solving while observing commercial realities,  management priorities, and project dynamics.</w:t>
      </w:r>
    </w:p>
    <w:p>
      <w:pPr>
        <w:pStyle w:val="Normal"/>
        <w:jc w:val="both"/>
        <w:rPr/>
      </w:pPr>
      <w:r>
        <w:rPr/>
      </w:r>
    </w:p>
    <w:p>
      <w:pPr>
        <w:pStyle w:val="Heading1"/>
        <w:ind w:hanging="0" w:start="0"/>
        <w:jc w:val="both"/>
        <w:rPr/>
      </w:pPr>
      <w:r>
        <w:rPr/>
        <w:t>Work History, Business Experience, and Accomplishments</w:t>
      </w:r>
    </w:p>
    <w:p>
      <w:pPr>
        <w:pStyle w:val="Normal"/>
        <w:jc w:val="both"/>
        <w:rPr>
          <w:i/>
          <w:i/>
        </w:rPr>
      </w:pPr>
      <w:r>
        <w:rPr>
          <w:i/>
        </w:rPr>
        <w:t>Manager-Global Valuation Services</w:t>
        <w:tab/>
        <w:tab/>
        <w:tab/>
        <w:tab/>
        <w:tab/>
        <w:tab/>
      </w:r>
      <w:r>
        <w:rPr/>
        <w:t>1997-Present</w:t>
      </w:r>
    </w:p>
    <w:p>
      <w:pPr>
        <w:pStyle w:val="BodyText"/>
        <w:rPr/>
      </w:pPr>
      <w:r>
        <w:rPr/>
        <w:t>Strategic Management Group, Corporate Planning and Economics Department, Corporate Center - Texaco Inc., White Plains, NY</w:t>
      </w:r>
    </w:p>
    <w:p>
      <w:pPr>
        <w:pStyle w:val="BodyText"/>
        <w:numPr>
          <w:ilvl w:val="0"/>
          <w:numId w:val="12"/>
        </w:numPr>
        <w:rPr>
          <w:i w:val="false"/>
          <w:i w:val="false"/>
        </w:rPr>
      </w:pPr>
      <w:r>
        <w:rPr>
          <w:i w:val="false"/>
        </w:rPr>
        <w:t>Responsible for the overall strategic direction, promotion, coordination, and appropriate deployment of value-based business technologies and processes across the Company and in support of the corporate and business units’ visions and objectives.</w:t>
      </w:r>
    </w:p>
    <w:p>
      <w:pPr>
        <w:pStyle w:val="BodyText"/>
        <w:numPr>
          <w:ilvl w:val="0"/>
          <w:numId w:val="20"/>
        </w:numPr>
        <w:rPr>
          <w:i w:val="false"/>
          <w:i w:val="false"/>
        </w:rPr>
      </w:pPr>
      <w:r>
        <w:rPr>
          <w:i w:val="false"/>
        </w:rPr>
        <w:t>Instigated, developed, and presented to executive management aligned, relevant, and phased business plans for implementing real options valuation, portfolio optimization, and value-based management.  Published several “white papers” and communicated the benefits of applying these technologies.</w:t>
      </w:r>
    </w:p>
    <w:p>
      <w:pPr>
        <w:pStyle w:val="BodyText"/>
        <w:numPr>
          <w:ilvl w:val="0"/>
          <w:numId w:val="20"/>
        </w:numPr>
        <w:rPr>
          <w:i w:val="false"/>
          <w:i w:val="false"/>
        </w:rPr>
      </w:pPr>
      <w:r>
        <w:rPr>
          <w:i w:val="false"/>
        </w:rPr>
        <w:t xml:space="preserve">Prepared and conducted over 60 related education seminars across the Company’s diverse businesses, worldwide.  Directed and implemented an internal knowledge-transfer web site.  </w:t>
      </w:r>
    </w:p>
    <w:p>
      <w:pPr>
        <w:pStyle w:val="BodyText"/>
        <w:numPr>
          <w:ilvl w:val="0"/>
          <w:numId w:val="18"/>
        </w:numPr>
        <w:rPr>
          <w:i w:val="false"/>
          <w:i w:val="false"/>
        </w:rPr>
      </w:pPr>
      <w:r>
        <w:rPr>
          <w:i w:val="false"/>
        </w:rPr>
        <w:t>Initiated, led, or coordinated appropriate multi-disciplinary and cross-functional teams of internal key resources and external experts to accomplish the approved business plans.  These efforts have unleashed over $2BN of option value (to-date) across the associated business applications and have visibly enhanced the corresponding strategic decisions.</w:t>
      </w:r>
    </w:p>
    <w:p>
      <w:pPr>
        <w:pStyle w:val="BodyText"/>
        <w:numPr>
          <w:ilvl w:val="0"/>
          <w:numId w:val="18"/>
        </w:numPr>
        <w:rPr>
          <w:i w:val="false"/>
          <w:i w:val="false"/>
        </w:rPr>
      </w:pPr>
      <w:r>
        <w:rPr>
          <w:i w:val="false"/>
        </w:rPr>
        <w:t xml:space="preserve">Appointed, </w:t>
      </w:r>
      <w:r>
        <w:rPr>
          <w:i w:val="false"/>
          <w:spacing w:val="-2"/>
        </w:rPr>
        <w:t xml:space="preserve">as a member of a fiscal select team, to promote, recommend, and implement the state-of-the-art Enterprise Risk Management as an integrated and streamlined approach. </w:t>
      </w:r>
      <w:r>
        <w:rPr>
          <w:i w:val="false"/>
        </w:rPr>
        <w:t xml:space="preserve">  </w:t>
      </w:r>
    </w:p>
    <w:p>
      <w:pPr>
        <w:pStyle w:val="BodyText"/>
        <w:numPr>
          <w:ilvl w:val="0"/>
          <w:numId w:val="12"/>
        </w:numPr>
        <w:rPr>
          <w:i w:val="false"/>
          <w:i w:val="false"/>
        </w:rPr>
      </w:pPr>
      <w:r>
        <w:rPr>
          <w:i w:val="false"/>
        </w:rPr>
        <w:t>Successfully completed, presented, and effectively communicated targeted projects to executive management and relevant business units.  This has resulted in paradigm shifts in strategic decisions, valuation, portfolio management,  value-metrics consideration, and asset life-cycle assessments.  The credibility of completed applications and the orchestrated organizational learning have resulted in greater demand for new applications (comprising both capital-based and knowledge-based opportunities) across the Company.</w:t>
      </w:r>
    </w:p>
    <w:p>
      <w:pPr>
        <w:pStyle w:val="BodyText"/>
        <w:numPr>
          <w:ilvl w:val="0"/>
          <w:numId w:val="12"/>
        </w:numPr>
        <w:rPr>
          <w:i w:val="false"/>
          <w:i w:val="false"/>
        </w:rPr>
      </w:pPr>
      <w:r>
        <w:rPr>
          <w:i w:val="false"/>
        </w:rPr>
        <w:t xml:space="preserve">Presented on “Real Options Valuation” as a guest speaker in external conferences and MBA seminars.  This has led to additional external recognition and over 50 (to-date) diverse and global outside invitations: </w:t>
      </w:r>
      <w:r>
        <w:rPr>
          <w:i w:val="false"/>
          <w:color w:val="000000"/>
        </w:rPr>
        <w:t xml:space="preserve">speaking engagements; teaching; panel chairing or participation; paper submittal and book contribution; press interviews; and industry knowledge-sharing networks (see external invitations). </w:t>
      </w:r>
    </w:p>
    <w:p>
      <w:pPr>
        <w:pStyle w:val="BodyText"/>
        <w:numPr>
          <w:ilvl w:val="0"/>
          <w:numId w:val="12"/>
        </w:numPr>
        <w:rPr/>
      </w:pPr>
      <w:r>
        <w:rPr>
          <w:i w:val="false"/>
          <w:iCs/>
        </w:rPr>
        <w:t>Received request for publication and first placement by the Society of Petroleum Engineers (SPE) for a paper submittal on economics and evaluation for the SPE 2000 technical conference.  The paper will be printed in the January 2001 edition of Journal of Petroleum Technology (JPT).</w:t>
      </w:r>
    </w:p>
    <w:p>
      <w:pPr>
        <w:pStyle w:val="BodyText"/>
        <w:rPr/>
      </w:pPr>
      <w:r>
        <w:rPr/>
      </w:r>
    </w:p>
    <w:p>
      <w:pPr>
        <w:pStyle w:val="BodyText"/>
        <w:rPr/>
      </w:pPr>
      <w:r>
        <w:rPr/>
        <w:t>Risk Analysis Manager, Company Worldwide</w:t>
        <w:tab/>
        <w:tab/>
        <w:tab/>
        <w:tab/>
        <w:tab/>
        <w:t>1993-1997</w:t>
      </w:r>
    </w:p>
    <w:p>
      <w:pPr>
        <w:pStyle w:val="Normal"/>
        <w:jc w:val="both"/>
        <w:rPr>
          <w:i/>
          <w:i/>
        </w:rPr>
      </w:pPr>
      <w:r>
        <w:rPr>
          <w:i/>
        </w:rPr>
        <w:t>Corporate Planning and Economics Department -  Texaco Inc., White Plains, NY</w:t>
      </w:r>
    </w:p>
    <w:p>
      <w:pPr>
        <w:pStyle w:val="Normal"/>
        <w:numPr>
          <w:ilvl w:val="0"/>
          <w:numId w:val="13"/>
        </w:numPr>
        <w:jc w:val="both"/>
        <w:rPr/>
      </w:pPr>
      <w:r>
        <w:rPr/>
        <w:t>Responsible for promoting and advancing the adoption of appropriate and consistent risk techniques, and quality standards, in evaluating major capital investment projects and the strategic plan.</w:t>
      </w:r>
    </w:p>
    <w:p>
      <w:pPr>
        <w:pStyle w:val="Normal"/>
        <w:numPr>
          <w:ilvl w:val="0"/>
          <w:numId w:val="13"/>
        </w:numPr>
        <w:jc w:val="both"/>
        <w:rPr/>
      </w:pPr>
      <w:r>
        <w:rPr/>
        <w:t>Conducted numerous customized risk training workshops across different business units and geographic locations, at all levels of management, and presented “decision and risk analysis benefits” at several conferences.</w:t>
      </w:r>
    </w:p>
    <w:p>
      <w:pPr>
        <w:pStyle w:val="Normal"/>
        <w:numPr>
          <w:ilvl w:val="0"/>
          <w:numId w:val="13"/>
        </w:numPr>
        <w:jc w:val="both"/>
        <w:rPr/>
      </w:pPr>
      <w:r>
        <w:rPr/>
        <w:t>Provided portfolio perspective, strategic content, risk analysis consultation, and advice on presenting investment (or divestment) opportunities to executive management on 25 major global investment projects.  These included: deep offshore exploration and development, onshore upgrades; joint ventures in discovered reserve opportunities; gas and power initiatives; LNG developments; pipeline and logistics proposals; refinery upgrades, new country marketing entries; technology considerations; strategic alliances; acquisitions; and a country exit.</w:t>
      </w:r>
    </w:p>
    <w:p>
      <w:pPr>
        <w:pStyle w:val="Normal"/>
        <w:numPr>
          <w:ilvl w:val="0"/>
          <w:numId w:val="13"/>
        </w:numPr>
        <w:jc w:val="both"/>
        <w:rPr/>
      </w:pPr>
      <w:r>
        <w:rPr/>
        <w:t>Developed a visualized risk-adjustable multi-attribute portfolio model for project ranking and presented to upstream executive management.</w:t>
      </w:r>
    </w:p>
    <w:p>
      <w:pPr>
        <w:pStyle w:val="Normal"/>
        <w:numPr>
          <w:ilvl w:val="0"/>
          <w:numId w:val="13"/>
        </w:numPr>
        <w:jc w:val="both"/>
        <w:rPr/>
      </w:pPr>
      <w:r>
        <w:rPr/>
        <w:t>Researched and provided direction on the deployment of other analytical techniques, e.g. Data Envelope Analysis for competitive benchmarking and efficiency optimization.</w:t>
      </w:r>
    </w:p>
    <w:p>
      <w:pPr>
        <w:pStyle w:val="Normal"/>
        <w:jc w:val="both"/>
        <w:rPr/>
      </w:pPr>
      <w:r>
        <w:rPr/>
        <w:t xml:space="preserve"> </w:t>
      </w:r>
    </w:p>
    <w:p>
      <w:pPr>
        <w:pStyle w:val="Normal"/>
        <w:jc w:val="both"/>
        <w:rPr/>
      </w:pPr>
      <w:r>
        <w:rPr>
          <w:i/>
        </w:rPr>
        <w:t>Financial Planning Consultant</w:t>
      </w:r>
      <w:r>
        <w:rPr/>
        <w:tab/>
        <w:tab/>
        <w:tab/>
        <w:tab/>
        <w:tab/>
        <w:tab/>
        <w:tab/>
        <w:t>1992-1993</w:t>
      </w:r>
    </w:p>
    <w:p>
      <w:pPr>
        <w:pStyle w:val="Heading3"/>
        <w:ind w:hanging="0" w:start="0"/>
        <w:rPr/>
      </w:pPr>
      <w:r>
        <w:rPr/>
        <w:t>Downstream Planning Department - Texaco Ltd., London, England</w:t>
      </w:r>
    </w:p>
    <w:p>
      <w:pPr>
        <w:pStyle w:val="BodyText2"/>
        <w:numPr>
          <w:ilvl w:val="0"/>
          <w:numId w:val="6"/>
        </w:numPr>
        <w:tabs>
          <w:tab w:val="clear" w:pos="1800"/>
          <w:tab w:val="clear" w:pos="2160"/>
          <w:tab w:val="left" w:pos="-1440" w:leader="none"/>
          <w:tab w:val="left" w:pos="-720" w:leader="none"/>
          <w:tab w:val="left" w:pos="0" w:leader="none"/>
          <w:tab w:val="left" w:pos="720" w:leader="none"/>
        </w:tabs>
        <w:rPr>
          <w:lang w:val="en-US"/>
        </w:rPr>
      </w:pPr>
      <w:r>
        <w:rPr>
          <w:lang w:val="en-US"/>
        </w:rPr>
        <w:t>Responsible for the overall plan, direction and control of the financial evaluation principals for downstream investment proposals across the Company.</w:t>
      </w:r>
    </w:p>
    <w:p>
      <w:pPr>
        <w:pStyle w:val="BodyText2"/>
        <w:numPr>
          <w:ilvl w:val="0"/>
          <w:numId w:val="2"/>
        </w:numPr>
        <w:tabs>
          <w:tab w:val="clear" w:pos="1800"/>
          <w:tab w:val="left" w:pos="-1440" w:leader="none"/>
          <w:tab w:val="left" w:pos="-720" w:leader="none"/>
          <w:tab w:val="left" w:pos="0" w:leader="none"/>
          <w:tab w:val="left" w:pos="720" w:leader="none"/>
          <w:tab w:val="left" w:pos="1440" w:leader="none"/>
          <w:tab w:val="left" w:pos="2160" w:leader="none"/>
        </w:tabs>
        <w:rPr>
          <w:lang w:val="en-US"/>
        </w:rPr>
      </w:pPr>
      <w:r>
        <w:rPr>
          <w:lang w:val="en-US"/>
        </w:rPr>
        <w:t>Planned, devised, and evaluated appropriate financial projection models and performance measurement criteria.  This resulted in implementing approved, robust, consistent, and effectively communicated project appraisal models and practices across the downstream.</w:t>
      </w:r>
    </w:p>
    <w:p>
      <w:pPr>
        <w:pStyle w:val="Normal"/>
        <w:numPr>
          <w:ilvl w:val="0"/>
          <w:numId w:val="16"/>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jc w:val="both"/>
        <w:rPr>
          <w:spacing w:val="-2"/>
        </w:rPr>
      </w:pPr>
      <w:r>
        <w:rPr>
          <w:spacing w:val="-2"/>
        </w:rPr>
        <w:t>Monitored and communicated the performance of approved downstream projects through post-audit reviews.  This enabled focus on key strategic issues, timely corrective action, and improved assumptions in future proposals.</w:t>
      </w:r>
    </w:p>
    <w:p>
      <w:pPr>
        <w:pStyle w:val="Normal"/>
        <w:numPr>
          <w:ilvl w:val="0"/>
          <w:numId w:val="15"/>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jc w:val="both"/>
        <w:rPr>
          <w:spacing w:val="-2"/>
        </w:rPr>
      </w:pPr>
      <w:r>
        <w:rPr>
          <w:spacing w:val="-2"/>
        </w:rPr>
        <w:t>Instigated, led, and implemented the adoption of appropriate risk analysis techniques on downstream investment evaluations.  My solution and recommendations in the area of economics risk assessment were further approved as the Company Standard, across all divisions, worldwide.</w:t>
      </w:r>
    </w:p>
    <w:p>
      <w:pPr>
        <w:pStyle w:val="Normal"/>
        <w:numPr>
          <w:ilvl w:val="0"/>
          <w:numId w:val="4"/>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jc w:val="both"/>
        <w:rPr>
          <w:spacing w:val="-2"/>
        </w:rPr>
      </w:pPr>
      <w:r>
        <w:rPr>
          <w:spacing w:val="-2"/>
        </w:rPr>
        <w:t>Developed the financial evaluation skills of downstream management through business skills workshops.</w:t>
      </w:r>
    </w:p>
    <w:p>
      <w:pPr>
        <w:pStyle w:val="Normal"/>
        <w:numPr>
          <w:ilvl w:val="0"/>
          <w:numId w:val="24"/>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jc w:val="both"/>
        <w:rPr>
          <w:spacing w:val="-2"/>
        </w:rPr>
      </w:pPr>
      <w:r>
        <w:rPr>
          <w:spacing w:val="-2"/>
        </w:rPr>
        <w:t>Directed enhancement to the strategic planning system to ensure consistency with the agreed financial evaluation procedures.</w:t>
      </w:r>
    </w:p>
    <w:p>
      <w:pPr>
        <w:pStyle w:val="Normal"/>
        <w:jc w:val="both"/>
        <w:rPr>
          <w:spacing w:val="-2"/>
        </w:rPr>
      </w:pPr>
      <w:r>
        <w:rPr>
          <w:spacing w:val="-2"/>
        </w:rPr>
      </w:r>
    </w:p>
    <w:p>
      <w:pPr>
        <w:pStyle w:val="Normal"/>
        <w:jc w:val="both"/>
        <w:rPr/>
      </w:pPr>
      <w:r>
        <w:rPr>
          <w:i/>
        </w:rPr>
        <w:t>Systems Coordinator</w:t>
      </w:r>
      <w:r>
        <w:rPr/>
        <w:tab/>
        <w:tab/>
        <w:tab/>
        <w:tab/>
        <w:tab/>
        <w:tab/>
        <w:tab/>
        <w:tab/>
        <w:t>1990-1992</w:t>
      </w:r>
    </w:p>
    <w:p>
      <w:pPr>
        <w:pStyle w:val="Heading3"/>
        <w:ind w:hanging="0" w:start="0"/>
        <w:rPr/>
      </w:pPr>
      <w:r>
        <w:rPr/>
        <w:t>Central Planning Department - Texaco Ltd., London, England</w:t>
      </w:r>
    </w:p>
    <w:p>
      <w:pPr>
        <w:pStyle w:val="Normal"/>
        <w:numPr>
          <w:ilvl w:val="0"/>
          <w:numId w:val="8"/>
        </w:numPr>
        <w:tabs>
          <w:tab w:val="left" w:pos="-1440" w:leader="none"/>
          <w:tab w:val="left" w:pos="-720" w:leader="none"/>
          <w:tab w:val="left" w:pos="0" w:leader="none"/>
          <w:tab w:val="left" w:pos="720" w:leader="none"/>
          <w:tab w:val="left" w:pos="864" w:leader="none"/>
          <w:tab w:val="left" w:pos="1800" w:leader="none"/>
          <w:tab w:val="left" w:pos="2160" w:leader="none"/>
        </w:tabs>
        <w:suppressAutoHyphens w:val="true"/>
        <w:jc w:val="both"/>
        <w:rPr>
          <w:spacing w:val="-2"/>
        </w:rPr>
      </w:pPr>
      <w:r>
        <w:rPr>
          <w:spacing w:val="-2"/>
        </w:rPr>
        <w:t>Appointed, as a member of a multi-disciplinary select team, to a new centralized planning department to effectively improve the focus on corporate strategic goals.</w:t>
      </w:r>
    </w:p>
    <w:p>
      <w:pPr>
        <w:pStyle w:val="Normal"/>
        <w:numPr>
          <w:ilvl w:val="0"/>
          <w:numId w:val="3"/>
        </w:numPr>
        <w:tabs>
          <w:tab w:val="left" w:pos="-1440" w:leader="none"/>
          <w:tab w:val="left" w:pos="-720" w:leader="none"/>
          <w:tab w:val="left" w:pos="0" w:leader="none"/>
          <w:tab w:val="left" w:pos="720" w:leader="none"/>
          <w:tab w:val="left" w:pos="864" w:leader="none"/>
          <w:tab w:val="left" w:pos="1800" w:leader="none"/>
          <w:tab w:val="left" w:pos="2160" w:leader="none"/>
        </w:tabs>
        <w:suppressAutoHyphens w:val="true"/>
        <w:jc w:val="both"/>
        <w:rPr>
          <w:spacing w:val="-2"/>
        </w:rPr>
      </w:pPr>
      <w:r>
        <w:rPr>
          <w:spacing w:val="-2"/>
        </w:rPr>
        <w:t>Responsible for managing and coordinating the development and implementation of fully-integrated, and effectively-communicated strategic planning and management information systems across the organization.  The systems which were modularized and self-generating, enabled validation and consolidation of the Company's activities at any required level, and provided extensive ad-hoc reporting, sensitivity analysis, evaluation of alternatives, and early warning indications.  The robustness, efficiency, and effectiveness of the systems were noted by Texaco Europe as evidenced by their request for adoption.</w:t>
      </w:r>
    </w:p>
    <w:p>
      <w:pPr>
        <w:pStyle w:val="Normal"/>
        <w:numPr>
          <w:ilvl w:val="0"/>
          <w:numId w:val="5"/>
        </w:numPr>
        <w:tabs>
          <w:tab w:val="clear" w:pos="720"/>
          <w:tab w:val="left" w:pos="0" w:leader="none"/>
        </w:tabs>
        <w:jc w:val="both"/>
        <w:rPr/>
      </w:pPr>
      <w:r>
        <w:rPr>
          <w:spacing w:val="-2"/>
        </w:rPr>
        <w:t>Enhanced the Company's strategic plans, through various studies, risk analysis and coordination of key assumptions and financial consequences.  This resulted in achieving cohesive and coherent plans, optimal timing of investment programs and improved resource allocation and funds' management.</w:t>
      </w:r>
    </w:p>
    <w:p>
      <w:pPr>
        <w:pStyle w:val="Normal"/>
        <w:tabs>
          <w:tab w:val="clear" w:pos="720"/>
          <w:tab w:val="left" w:pos="0" w:leader="none"/>
        </w:tabs>
        <w:jc w:val="both"/>
        <w:rPr/>
      </w:pPr>
      <w:r>
        <w:rPr/>
      </w:r>
    </w:p>
    <w:p>
      <w:pPr>
        <w:pStyle w:val="Normal"/>
        <w:jc w:val="both"/>
        <w:rPr/>
      </w:pPr>
      <w:r>
        <w:rPr>
          <w:i/>
        </w:rPr>
        <w:t>Operations Research (O.R..) Manager</w:t>
      </w:r>
      <w:r>
        <w:rPr/>
        <w:tab/>
        <w:tab/>
        <w:tab/>
        <w:tab/>
        <w:tab/>
        <w:tab/>
        <w:t>1987-1990</w:t>
      </w:r>
    </w:p>
    <w:p>
      <w:pPr>
        <w:pStyle w:val="Heading3"/>
        <w:ind w:hanging="0" w:start="0"/>
        <w:rPr/>
      </w:pPr>
      <w:r>
        <w:rPr/>
        <w:t>Information Technology Department - Texaco Ltd., London, England</w:t>
      </w:r>
    </w:p>
    <w:p>
      <w:pPr>
        <w:pStyle w:val="BodyText2"/>
        <w:numPr>
          <w:ilvl w:val="0"/>
          <w:numId w:val="23"/>
        </w:numPr>
        <w:tabs>
          <w:tab w:val="left" w:pos="-1440" w:leader="none"/>
          <w:tab w:val="left" w:pos="-720" w:leader="none"/>
          <w:tab w:val="left" w:pos="0" w:leader="none"/>
          <w:tab w:val="left" w:pos="720" w:leader="none"/>
          <w:tab w:val="left" w:pos="864" w:leader="none"/>
          <w:tab w:val="left" w:pos="1800" w:leader="none"/>
          <w:tab w:val="left" w:pos="2160" w:leader="none"/>
        </w:tabs>
        <w:rPr>
          <w:lang w:val="en-US"/>
        </w:rPr>
      </w:pPr>
      <w:r>
        <w:rPr>
          <w:lang w:val="en-US"/>
        </w:rPr>
        <w:t>Appointed to consolidate O.R.'s integration within the Company through establishing a newly centralized O.R. activity in Texaco U.K.  Responsible for the overall direction and management of all O.R. activities which entailed:</w:t>
      </w:r>
    </w:p>
    <w:p>
      <w:pPr>
        <w:pStyle w:val="Normal"/>
        <w:numPr>
          <w:ilvl w:val="0"/>
          <w:numId w:val="21"/>
        </w:numPr>
        <w:tabs>
          <w:tab w:val="left" w:pos="-1440" w:leader="none"/>
          <w:tab w:val="left" w:pos="-720" w:leader="none"/>
          <w:tab w:val="left" w:pos="0" w:leader="none"/>
          <w:tab w:val="left" w:pos="720" w:leader="none"/>
          <w:tab w:val="left" w:pos="864" w:leader="none"/>
          <w:tab w:val="left" w:pos="1440" w:leader="none"/>
          <w:tab w:val="left" w:pos="2160" w:leader="none"/>
        </w:tabs>
        <w:suppressAutoHyphens w:val="true"/>
        <w:ind w:hanging="360" w:start="720" w:end="0"/>
        <w:jc w:val="both"/>
        <w:rPr>
          <w:spacing w:val="-2"/>
        </w:rPr>
      </w:pPr>
      <w:r>
        <w:rPr>
          <w:spacing w:val="-2"/>
        </w:rPr>
        <w:t>Setting objectives and developing strategies and procedures of the O.R. activity;</w:t>
      </w:r>
    </w:p>
    <w:p>
      <w:pPr>
        <w:pStyle w:val="Normal"/>
        <w:numPr>
          <w:ilvl w:val="0"/>
          <w:numId w:val="21"/>
        </w:numPr>
        <w:tabs>
          <w:tab w:val="left" w:pos="-1440" w:leader="none"/>
          <w:tab w:val="left" w:pos="-720" w:leader="none"/>
          <w:tab w:val="left" w:pos="0" w:leader="none"/>
          <w:tab w:val="left" w:pos="720" w:leader="none"/>
          <w:tab w:val="left" w:pos="864" w:leader="none"/>
          <w:tab w:val="left" w:pos="1440" w:leader="none"/>
          <w:tab w:val="left" w:pos="1800" w:leader="none"/>
          <w:tab w:val="left" w:pos="2160" w:leader="none"/>
        </w:tabs>
        <w:suppressAutoHyphens w:val="true"/>
        <w:ind w:hanging="360" w:start="720" w:end="0"/>
        <w:jc w:val="both"/>
        <w:rPr>
          <w:spacing w:val="-2"/>
        </w:rPr>
      </w:pPr>
      <w:r>
        <w:rPr>
          <w:spacing w:val="-2"/>
        </w:rPr>
        <w:t>Recruiting, training and developing appropriately educated and experienced staff;</w:t>
      </w:r>
    </w:p>
    <w:p>
      <w:pPr>
        <w:pStyle w:val="BodyText2"/>
        <w:numPr>
          <w:ilvl w:val="0"/>
          <w:numId w:val="21"/>
        </w:numPr>
        <w:tabs>
          <w:tab w:val="clear" w:pos="1800"/>
          <w:tab w:val="left" w:pos="-1440" w:leader="none"/>
          <w:tab w:val="left" w:pos="-720" w:leader="none"/>
          <w:tab w:val="left" w:pos="0" w:leader="none"/>
          <w:tab w:val="left" w:pos="720" w:leader="none"/>
          <w:tab w:val="left" w:pos="1440" w:leader="none"/>
          <w:tab w:val="left" w:pos="2160" w:leader="none"/>
        </w:tabs>
        <w:ind w:hanging="360" w:start="720" w:end="0"/>
        <w:rPr>
          <w:lang w:val="en-US"/>
        </w:rPr>
      </w:pPr>
      <w:r>
        <w:rPr>
          <w:lang w:val="en-US"/>
        </w:rPr>
        <w:t>Identifying, prioritizing and managing O.R. projects across Texaco business areas (upstream, downstream and corporate);</w:t>
      </w:r>
    </w:p>
    <w:p>
      <w:pPr>
        <w:pStyle w:val="BodyText2"/>
        <w:numPr>
          <w:ilvl w:val="0"/>
          <w:numId w:val="21"/>
        </w:numPr>
        <w:tabs>
          <w:tab w:val="clear" w:pos="1800"/>
          <w:tab w:val="left" w:pos="-1440" w:leader="none"/>
          <w:tab w:val="left" w:pos="-720" w:leader="none"/>
          <w:tab w:val="left" w:pos="0" w:leader="none"/>
          <w:tab w:val="left" w:pos="720" w:leader="none"/>
          <w:tab w:val="left" w:pos="864" w:leader="none"/>
          <w:tab w:val="left" w:pos="1440" w:leader="none"/>
          <w:tab w:val="left" w:pos="2160" w:leader="none"/>
        </w:tabs>
        <w:ind w:hanging="360" w:start="720" w:end="0"/>
        <w:rPr>
          <w:lang w:val="en-US"/>
        </w:rPr>
      </w:pPr>
      <w:r>
        <w:rPr>
          <w:lang w:val="en-US"/>
        </w:rPr>
        <w:t>Influencing and enhancing the use of appropriate O.R. tools and methods across the Company.</w:t>
      </w:r>
    </w:p>
    <w:p>
      <w:pPr>
        <w:pStyle w:val="BodyText2"/>
        <w:numPr>
          <w:ilvl w:val="0"/>
          <w:numId w:val="25"/>
        </w:numPr>
        <w:tabs>
          <w:tab w:val="left" w:pos="-1440" w:leader="none"/>
          <w:tab w:val="left" w:pos="-720" w:leader="none"/>
          <w:tab w:val="left" w:pos="0" w:leader="none"/>
          <w:tab w:val="left" w:pos="720" w:leader="none"/>
          <w:tab w:val="left" w:pos="810" w:leader="none"/>
          <w:tab w:val="left" w:pos="864" w:leader="none"/>
          <w:tab w:val="left" w:pos="1800" w:leader="none"/>
          <w:tab w:val="left" w:pos="2160" w:leader="none"/>
        </w:tabs>
        <w:rPr>
          <w:lang w:val="en-US"/>
        </w:rPr>
      </w:pPr>
      <w:r>
        <w:rPr>
          <w:lang w:val="en-US"/>
        </w:rPr>
        <w:t>This resulted in successfully implementing the following O.R. projects:</w:t>
      </w:r>
    </w:p>
    <w:p>
      <w:pPr>
        <w:pStyle w:val="Normal"/>
        <w:numPr>
          <w:ilvl w:val="0"/>
          <w:numId w:val="19"/>
        </w:numPr>
        <w:tabs>
          <w:tab w:val="left" w:pos="-1440" w:leader="none"/>
          <w:tab w:val="left" w:pos="-720" w:leader="none"/>
          <w:tab w:val="left" w:pos="0" w:leader="none"/>
          <w:tab w:val="left" w:pos="720" w:leader="none"/>
          <w:tab w:val="left" w:pos="1440" w:leader="none"/>
          <w:tab w:val="left" w:pos="1800" w:leader="none"/>
          <w:tab w:val="left" w:pos="2160" w:leader="none"/>
          <w:tab w:val="left" w:pos="2520" w:leader="none"/>
          <w:tab w:val="left" w:pos="2880" w:leader="none"/>
        </w:tabs>
        <w:suppressAutoHyphens w:val="true"/>
        <w:ind w:hanging="360" w:start="720" w:end="0"/>
        <w:jc w:val="both"/>
        <w:rPr>
          <w:spacing w:val="-2"/>
        </w:rPr>
      </w:pPr>
      <w:r>
        <w:rPr>
          <w:spacing w:val="-2"/>
        </w:rPr>
        <w:t>Upstream:  exploration economics risk analysis; sales cargo allocation policy.</w:t>
      </w:r>
    </w:p>
    <w:p>
      <w:pPr>
        <w:pStyle w:val="Normal"/>
        <w:numPr>
          <w:ilvl w:val="0"/>
          <w:numId w:val="19"/>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ind w:hanging="360" w:start="720" w:end="0"/>
        <w:jc w:val="both"/>
        <w:rPr>
          <w:spacing w:val="-2"/>
        </w:rPr>
      </w:pPr>
      <w:r>
        <w:rPr>
          <w:spacing w:val="-2"/>
        </w:rPr>
        <w:t>Downstream:</w:t>
        <w:tab/>
        <w:t xml:space="preserve"> integrated downstream optimization analysis; retail investment evaluation;</w:t>
        <w:tab/>
        <w:t>logistics and inventory optimization.</w:t>
      </w:r>
    </w:p>
    <w:p>
      <w:pPr>
        <w:pStyle w:val="Normal"/>
        <w:numPr>
          <w:ilvl w:val="0"/>
          <w:numId w:val="19"/>
        </w:numPr>
        <w:tabs>
          <w:tab w:val="left" w:pos="-1440" w:leader="none"/>
          <w:tab w:val="left" w:pos="-720" w:leader="none"/>
          <w:tab w:val="left" w:pos="0" w:leader="none"/>
          <w:tab w:val="left" w:pos="720" w:leader="none"/>
          <w:tab w:val="left" w:pos="1440" w:leader="none"/>
          <w:tab w:val="left" w:pos="1800" w:leader="none"/>
          <w:tab w:val="left" w:pos="2160" w:leader="none"/>
        </w:tabs>
        <w:suppressAutoHyphens w:val="true"/>
        <w:ind w:hanging="360" w:start="720" w:end="0"/>
        <w:jc w:val="both"/>
        <w:rPr>
          <w:spacing w:val="-2"/>
        </w:rPr>
      </w:pPr>
      <w:r>
        <w:rPr>
          <w:spacing w:val="-2"/>
        </w:rPr>
        <w:t>Corporate: hedging decision analysis; investment portfolio analysis; remuneration analysis and modeling; general O.R. training and related software support.</w:t>
      </w:r>
    </w:p>
    <w:p>
      <w:pPr>
        <w:pStyle w:val="Normal"/>
        <w:jc w:val="both"/>
        <w:rPr>
          <w:spacing w:val="-2"/>
        </w:rPr>
      </w:pPr>
      <w:r>
        <w:rPr>
          <w:spacing w:val="-2"/>
        </w:rPr>
      </w:r>
    </w:p>
    <w:p>
      <w:pPr>
        <w:pStyle w:val="Normal"/>
        <w:jc w:val="both"/>
        <w:rPr/>
      </w:pPr>
      <w:r>
        <w:rPr>
          <w:i/>
        </w:rPr>
        <w:t>Systems Coordinator</w:t>
      </w:r>
      <w:r>
        <w:rPr/>
        <w:tab/>
        <w:tab/>
        <w:tab/>
        <w:tab/>
        <w:tab/>
        <w:tab/>
        <w:tab/>
        <w:tab/>
        <w:t>1986-1987</w:t>
      </w:r>
    </w:p>
    <w:p>
      <w:pPr>
        <w:pStyle w:val="Heading3"/>
        <w:ind w:hanging="0" w:start="0"/>
        <w:rPr/>
      </w:pPr>
      <w:r>
        <w:rPr/>
        <w:t>Finance &amp; Economics Department (F&amp;E) - Texaco Ltd., London, England</w:t>
      </w:r>
    </w:p>
    <w:p>
      <w:pPr>
        <w:pStyle w:val="BodyText2"/>
        <w:numPr>
          <w:ilvl w:val="0"/>
          <w:numId w:val="11"/>
        </w:numPr>
        <w:rPr>
          <w:lang w:val="en-US"/>
        </w:rPr>
      </w:pPr>
      <w:r>
        <w:rPr>
          <w:lang w:val="en-US"/>
        </w:rPr>
        <w:t>Responsible for development and implementation of interactive computer systems to control and coordinate the budgetary performance of all Texaco companies activities in U.K. against all elements of Tactical Plan.  Prepared, coordinated, and communicated the short term Tactical Plan.</w:t>
      </w:r>
    </w:p>
    <w:p>
      <w:pPr>
        <w:pStyle w:val="Normal"/>
        <w:numPr>
          <w:ilvl w:val="0"/>
          <w:numId w:val="17"/>
        </w:numPr>
        <w:jc w:val="both"/>
        <w:rPr/>
      </w:pPr>
      <w:r>
        <w:rPr>
          <w:spacing w:val="-2"/>
        </w:rPr>
        <w:t>Chaired a Systems Development Group which aimed to exchange, integrate, and promote computing activities within F&amp;E.</w:t>
      </w:r>
    </w:p>
    <w:p>
      <w:pPr>
        <w:pStyle w:val="Normal"/>
        <w:jc w:val="both"/>
        <w:rPr/>
      </w:pPr>
      <w:r>
        <w:rPr/>
      </w:r>
    </w:p>
    <w:p>
      <w:pPr>
        <w:pStyle w:val="Normal"/>
        <w:jc w:val="both"/>
        <w:rPr/>
      </w:pPr>
      <w:r>
        <w:rPr>
          <w:i/>
        </w:rPr>
        <w:t>Planning Coordinator</w:t>
      </w:r>
      <w:r>
        <w:rPr/>
        <w:tab/>
        <w:tab/>
        <w:tab/>
        <w:tab/>
        <w:tab/>
        <w:tab/>
        <w:tab/>
        <w:tab/>
        <w:t>1985-1986</w:t>
      </w:r>
    </w:p>
    <w:p>
      <w:pPr>
        <w:pStyle w:val="Heading3"/>
        <w:ind w:hanging="0" w:start="0"/>
        <w:rPr/>
      </w:pPr>
      <w:r>
        <w:rPr/>
        <w:t>Trading and Supply Department (T&amp;S) - Texaco Ltd., London, England</w:t>
      </w:r>
    </w:p>
    <w:p>
      <w:pPr>
        <w:pStyle w:val="Normal"/>
        <w:numPr>
          <w:ilvl w:val="0"/>
          <w:numId w:val="10"/>
        </w:numPr>
        <w:tabs>
          <w:tab w:val="left" w:pos="-1440" w:leader="none"/>
          <w:tab w:val="left" w:pos="-720" w:leader="none"/>
          <w:tab w:val="left" w:pos="0" w:leader="none"/>
          <w:tab w:val="left" w:pos="720" w:leader="none"/>
          <w:tab w:val="left" w:pos="1800" w:leader="none"/>
          <w:tab w:val="left" w:pos="2160" w:leader="none"/>
        </w:tabs>
        <w:suppressAutoHyphens w:val="true"/>
        <w:jc w:val="both"/>
        <w:rPr>
          <w:spacing w:val="-2"/>
        </w:rPr>
      </w:pPr>
      <w:r>
        <w:rPr>
          <w:spacing w:val="-2"/>
        </w:rPr>
        <w:t>Evaluated and recommended cost-effective operational changes within the supply and physical distribution networking system of Texaco Ltd.</w:t>
      </w:r>
    </w:p>
    <w:p>
      <w:pPr>
        <w:pStyle w:val="Normal"/>
        <w:numPr>
          <w:ilvl w:val="0"/>
          <w:numId w:val="10"/>
        </w:numPr>
        <w:tabs>
          <w:tab w:val="left" w:pos="-1440" w:leader="none"/>
          <w:tab w:val="left" w:pos="-720" w:leader="none"/>
          <w:tab w:val="left" w:pos="0" w:leader="none"/>
          <w:tab w:val="left" w:pos="720" w:leader="none"/>
          <w:tab w:val="left" w:pos="1800" w:leader="none"/>
          <w:tab w:val="left" w:pos="2160" w:leader="none"/>
        </w:tabs>
        <w:suppressAutoHyphens w:val="true"/>
        <w:jc w:val="both"/>
        <w:rPr>
          <w:spacing w:val="-2"/>
        </w:rPr>
      </w:pPr>
      <w:r>
        <w:rPr>
          <w:spacing w:val="-2"/>
        </w:rPr>
        <w:t>Assisted Manufacturing group with analysis of crude economics and refinery L.P. system to recommend crude and feedstock purchases, advise optimum refinery operating conditions, and predict monthly refinery production and inventories.</w:t>
      </w:r>
    </w:p>
    <w:p>
      <w:pPr>
        <w:pStyle w:val="Normal"/>
        <w:numPr>
          <w:ilvl w:val="0"/>
          <w:numId w:val="10"/>
        </w:numPr>
        <w:tabs>
          <w:tab w:val="left" w:pos="-1440" w:leader="none"/>
          <w:tab w:val="left" w:pos="-720" w:leader="none"/>
          <w:tab w:val="left" w:pos="0" w:leader="none"/>
          <w:tab w:val="left" w:pos="720" w:leader="none"/>
          <w:tab w:val="left" w:pos="1800" w:leader="none"/>
          <w:tab w:val="left" w:pos="2160" w:leader="none"/>
        </w:tabs>
        <w:suppressAutoHyphens w:val="true"/>
        <w:jc w:val="both"/>
        <w:rPr>
          <w:spacing w:val="-2"/>
        </w:rPr>
      </w:pPr>
      <w:r>
        <w:rPr>
          <w:spacing w:val="-2"/>
        </w:rPr>
        <w:t>Responsible for coordinating all computing activities within T&amp;S including Texaco Oil Trading and Supply Systems (TOTS).  Developed an international data network for sharing information between the relevant departments and refineries in the U.K., Europe, and the U.S.</w:t>
      </w:r>
    </w:p>
    <w:p>
      <w:pPr>
        <w:pStyle w:val="Normal"/>
        <w:tabs>
          <w:tab w:val="left" w:pos="-1440" w:leader="none"/>
          <w:tab w:val="left" w:pos="-720" w:leader="none"/>
          <w:tab w:val="left" w:pos="0" w:leader="none"/>
          <w:tab w:val="left" w:pos="720" w:leader="none"/>
          <w:tab w:val="left" w:pos="1800" w:leader="none"/>
          <w:tab w:val="left" w:pos="2160" w:leader="none"/>
        </w:tabs>
        <w:suppressAutoHyphens w:val="true"/>
        <w:jc w:val="both"/>
        <w:rPr>
          <w:spacing w:val="-2"/>
        </w:rPr>
      </w:pPr>
      <w:r>
        <w:rPr>
          <w:spacing w:val="-2"/>
        </w:rPr>
      </w:r>
    </w:p>
    <w:p>
      <w:pPr>
        <w:pStyle w:val="Normal"/>
        <w:jc w:val="both"/>
        <w:rPr/>
      </w:pPr>
      <w:r>
        <w:rPr>
          <w:i/>
        </w:rPr>
        <w:t>Senior Programmer Analyst</w:t>
      </w:r>
      <w:r>
        <w:rPr/>
        <w:tab/>
        <w:tab/>
        <w:tab/>
        <w:tab/>
        <w:tab/>
        <w:tab/>
        <w:tab/>
        <w:t>1984-1985</w:t>
      </w:r>
    </w:p>
    <w:p>
      <w:pPr>
        <w:pStyle w:val="Heading3"/>
        <w:ind w:hanging="0" w:start="0"/>
        <w:rPr/>
      </w:pPr>
      <w:r>
        <w:rPr/>
        <w:t>Computer and Information Systems Department - Texaco Ltd., London, England</w:t>
      </w:r>
    </w:p>
    <w:p>
      <w:pPr>
        <w:pStyle w:val="Normal"/>
        <w:numPr>
          <w:ilvl w:val="0"/>
          <w:numId w:val="7"/>
        </w:numPr>
        <w:jc w:val="both"/>
        <w:rPr/>
      </w:pPr>
      <w:r>
        <w:rPr>
          <w:spacing w:val="-2"/>
        </w:rPr>
        <w:t>Responsible for enabling clients with better use of Texaco's interactive computing facilities worldwide.  Prepared and presented suitable training courses.  Assisted with the development of application programs and liaised with other computer groups regarding computing resources and technology.</w:t>
      </w:r>
    </w:p>
    <w:p>
      <w:pPr>
        <w:pStyle w:val="Normal"/>
        <w:jc w:val="both"/>
        <w:rPr/>
      </w:pPr>
      <w:r>
        <w:rPr/>
      </w:r>
    </w:p>
    <w:p>
      <w:pPr>
        <w:pStyle w:val="Normal"/>
        <w:jc w:val="both"/>
        <w:rPr/>
      </w:pPr>
      <w:r>
        <w:rPr>
          <w:i/>
        </w:rPr>
        <w:t>Operational Research Analyst</w:t>
      </w:r>
      <w:r>
        <w:rPr/>
        <w:tab/>
        <w:tab/>
        <w:tab/>
        <w:tab/>
        <w:tab/>
        <w:tab/>
        <w:tab/>
        <w:t>1979-1984</w:t>
      </w:r>
    </w:p>
    <w:p>
      <w:pPr>
        <w:pStyle w:val="Heading3"/>
        <w:ind w:hanging="0" w:start="0"/>
        <w:rPr/>
      </w:pPr>
      <w:r>
        <w:rPr/>
        <w:t>Datasolve Operational Research Department - THORN EMI plc, London, England</w:t>
      </w:r>
    </w:p>
    <w:p>
      <w:pPr>
        <w:pStyle w:val="Normal"/>
        <w:numPr>
          <w:ilvl w:val="0"/>
          <w:numId w:val="22"/>
        </w:numPr>
        <w:jc w:val="both"/>
        <w:rPr/>
      </w:pPr>
      <w:r>
        <w:rPr/>
        <w:t>Designed, coded, and implemented (a) global acquisition system for THORN EMI Video; (b) budget and 5-year planning system for THORN EMI Domestic Appliances; (c) statutory consolidation system for THORN EMI Group.  Prepared and presented client training seminars on all the above.</w:t>
      </w:r>
    </w:p>
    <w:p>
      <w:pPr>
        <w:pStyle w:val="Normal"/>
        <w:jc w:val="both"/>
        <w:rPr/>
      </w:pPr>
      <w:r>
        <w:rPr/>
      </w:r>
    </w:p>
    <w:p>
      <w:pPr>
        <w:pStyle w:val="Heading2"/>
        <w:ind w:hanging="0" w:start="0"/>
        <w:rPr>
          <w:sz w:val="22"/>
        </w:rPr>
      </w:pPr>
      <w:r>
        <w:rPr>
          <w:sz w:val="22"/>
        </w:rPr>
        <w:t>Education</w:t>
      </w:r>
    </w:p>
    <w:p>
      <w:pPr>
        <w:pStyle w:val="Normal"/>
        <w:numPr>
          <w:ilvl w:val="0"/>
          <w:numId w:val="14"/>
        </w:numPr>
        <w:jc w:val="both"/>
        <w:rPr>
          <w:b/>
          <w:i/>
          <w:i/>
        </w:rPr>
      </w:pPr>
      <w:r>
        <w:rPr/>
        <w:t>M.Sc. in Operational Research</w:t>
        <w:tab/>
        <w:tab/>
        <w:tab/>
        <w:tab/>
        <w:tab/>
        <w:tab/>
        <w:tab/>
        <w:t>1977-1979</w:t>
      </w:r>
    </w:p>
    <w:p>
      <w:pPr>
        <w:pStyle w:val="Normal"/>
        <w:ind w:firstLine="360" w:end="0"/>
        <w:jc w:val="both"/>
        <w:rPr>
          <w:b/>
          <w:i/>
          <w:i/>
        </w:rPr>
      </w:pPr>
      <w:r>
        <w:rPr/>
        <w:t>London School of Economics, England</w:t>
        <w:tab/>
        <w:tab/>
        <w:tab/>
      </w:r>
    </w:p>
    <w:p>
      <w:pPr>
        <w:pStyle w:val="Normal"/>
        <w:numPr>
          <w:ilvl w:val="0"/>
          <w:numId w:val="14"/>
        </w:numPr>
        <w:jc w:val="both"/>
        <w:rPr>
          <w:b/>
          <w:i/>
          <w:i/>
        </w:rPr>
      </w:pPr>
      <w:r>
        <w:rPr/>
        <w:t>B.Sc. (Upper 2</w:t>
      </w:r>
      <w:r>
        <w:rPr>
          <w:vertAlign w:val="superscript"/>
        </w:rPr>
        <w:t>nd</w:t>
      </w:r>
      <w:r>
        <w:rPr/>
        <w:t xml:space="preserve"> Hons.) in Mathematics</w:t>
        <w:tab/>
        <w:tab/>
        <w:tab/>
        <w:tab/>
        <w:tab/>
        <w:tab/>
        <w:t>1974-1977</w:t>
      </w:r>
    </w:p>
    <w:p>
      <w:pPr>
        <w:pStyle w:val="Normal"/>
        <w:ind w:firstLine="360" w:end="0"/>
        <w:jc w:val="both"/>
        <w:rPr>
          <w:b/>
          <w:i/>
          <w:i/>
        </w:rPr>
      </w:pPr>
      <w:r>
        <w:rPr/>
        <w:t>University of Southamption, England</w:t>
      </w:r>
    </w:p>
    <w:p>
      <w:pPr>
        <w:pStyle w:val="Normal"/>
        <w:numPr>
          <w:ilvl w:val="0"/>
          <w:numId w:val="14"/>
        </w:numPr>
        <w:jc w:val="both"/>
        <w:rPr>
          <w:b/>
          <w:i/>
          <w:i/>
        </w:rPr>
      </w:pPr>
      <w:r>
        <w:rPr/>
        <w:t>3 “A” Levels in: Pure Mathematics, Applied Mathematics, and Physics</w:t>
        <w:tab/>
        <w:tab/>
        <w:t>1972-1974</w:t>
      </w:r>
    </w:p>
    <w:p>
      <w:pPr>
        <w:pStyle w:val="Normal"/>
        <w:ind w:start="360" w:end="0"/>
        <w:jc w:val="both"/>
        <w:rPr/>
      </w:pPr>
      <w:r>
        <w:rPr/>
        <w:t>Westonbirt School, Gloucestershire, England</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r>
      <w:rPr>
        <w:rStyle w:val="PageNumber"/>
      </w:rPr>
      <w:t xml:space="preserve">of 3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3">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4">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5">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6">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7">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8">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9">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0">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1">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2">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3">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4">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15">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6">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7">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8">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19">
    <w:lvl w:ilvl="0">
      <w:start w:val="1997"/>
      <w:numFmt w:val="bullet"/>
      <w:lvlText w:val="–"/>
      <w:lvlJc w:val="start"/>
      <w:pPr>
        <w:tabs>
          <w:tab w:val="num" w:pos="360"/>
        </w:tabs>
        <w:ind w:start="360" w:hanging="360"/>
      </w:pPr>
      <w:rPr>
        <w:rFonts w:ascii="Liberation Serif" w:hAnsi="Liberation Serif" w:cs="Liberation Serif"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21">
    <w:lvl w:ilvl="0">
      <w:start w:val="1997"/>
      <w:numFmt w:val="bullet"/>
      <w:lvlText w:val="–"/>
      <w:lvlJc w:val="start"/>
      <w:pPr>
        <w:tabs>
          <w:tab w:val="num" w:pos="360"/>
        </w:tabs>
        <w:ind w:start="360" w:hanging="360"/>
      </w:pPr>
      <w:rPr>
        <w:rFonts w:ascii="Liberation Serif" w:hAnsi="Liberation Serif" w:cs="Liberation Serif" w:hint="default"/>
      </w:rPr>
    </w:lvl>
  </w:abstractNum>
  <w:abstractNum w:abstractNumId="22">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23">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24">
    <w:lvl w:ilvl="0">
      <w:start w:val="1"/>
      <w:numFmt w:val="bullet"/>
      <w:lvlText w:val=""/>
      <w:lvlJc w:val="start"/>
      <w:pPr>
        <w:tabs>
          <w:tab w:val="num" w:pos="360"/>
        </w:tabs>
        <w:ind w:start="360" w:hanging="360"/>
      </w:pPr>
      <w:rPr>
        <w:rFonts w:ascii="Wingdings" w:hAnsi="Wingdings" w:cs="Wingdings" w:hint="default"/>
        <w:sz w:val="20"/>
        <w:color w:val="auto"/>
      </w:rPr>
    </w:lvl>
  </w:abstractNum>
  <w:abstractNum w:abstractNumId="25">
    <w:lvl w:ilvl="0">
      <w:start w:val="1"/>
      <w:numFmt w:val="bullet"/>
      <w:lvlText w:val=""/>
      <w:lvlJc w:val="start"/>
      <w:pPr>
        <w:tabs>
          <w:tab w:val="num" w:pos="360"/>
        </w:tabs>
        <w:ind w:start="360" w:hanging="360"/>
      </w:pPr>
      <w:rPr>
        <w:rFonts w:ascii="Wingdings" w:hAnsi="Wingdings" w:cs="Wingdings" w:hint="default"/>
        <w:sz w:val="20"/>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1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2"/>
    </w:rPr>
  </w:style>
  <w:style w:type="paragraph" w:styleId="Heading2">
    <w:name w:val="heading 2"/>
    <w:basedOn w:val="Normal"/>
    <w:next w:val="Normal"/>
    <w:qFormat/>
    <w:pPr>
      <w:keepNext w:val="true"/>
      <w:numPr>
        <w:ilvl w:val="1"/>
        <w:numId w:val="1"/>
      </w:numPr>
      <w:jc w:val="both"/>
      <w:outlineLvl w:val="1"/>
    </w:pPr>
    <w:rPr>
      <w:b/>
      <w:i/>
    </w:rPr>
  </w:style>
  <w:style w:type="paragraph" w:styleId="Heading3">
    <w:name w:val="heading 3"/>
    <w:basedOn w:val="Normal"/>
    <w:next w:val="Normal"/>
    <w:qFormat/>
    <w:pPr>
      <w:keepNext w:val="true"/>
      <w:numPr>
        <w:ilvl w:val="2"/>
        <w:numId w:val="1"/>
      </w:numPr>
      <w:jc w:val="both"/>
      <w:outlineLvl w:val="2"/>
    </w:pPr>
    <w:rPr>
      <w:i/>
    </w:rPr>
  </w:style>
  <w:style w:type="character" w:styleId="WW8Num1z0">
    <w:name w:val="WW8Num1z0"/>
    <w:qFormat/>
    <w:rPr>
      <w:rFonts w:ascii="Wingdings" w:hAnsi="Wingdings" w:cs="Wingdings"/>
      <w:color w:val="auto"/>
      <w:sz w:val="20"/>
    </w:rPr>
  </w:style>
  <w:style w:type="character" w:styleId="WW8Num2z0">
    <w:name w:val="WW8Num2z0"/>
    <w:qFormat/>
    <w:rPr>
      <w:rFonts w:ascii="Symbol" w:hAnsi="Symbol" w:cs="Symbol"/>
      <w:color w:val="auto"/>
      <w:sz w:val="20"/>
    </w:rPr>
  </w:style>
  <w:style w:type="character" w:styleId="WW8Num3z0">
    <w:name w:val="WW8Num3z0"/>
    <w:qFormat/>
    <w:rPr>
      <w:rFonts w:ascii="Wingdings" w:hAnsi="Wingdings" w:cs="Wingdings"/>
      <w:color w:val="auto"/>
      <w:sz w:val="20"/>
    </w:rPr>
  </w:style>
  <w:style w:type="character" w:styleId="WW8Num4z0">
    <w:name w:val="WW8Num4z0"/>
    <w:qFormat/>
    <w:rPr>
      <w:rFonts w:ascii="Wingdings" w:hAnsi="Wingdings" w:cs="Wingdings"/>
      <w:color w:val="auto"/>
      <w:sz w:val="20"/>
    </w:rPr>
  </w:style>
  <w:style w:type="character" w:styleId="WW8Num5z0">
    <w:name w:val="WW8Num5z0"/>
    <w:qFormat/>
    <w:rPr>
      <w:rFonts w:ascii="Symbol" w:hAnsi="Symbol" w:cs="Symbol"/>
      <w:color w:val="auto"/>
      <w:sz w:val="20"/>
    </w:rPr>
  </w:style>
  <w:style w:type="character" w:styleId="WW8Num6z0">
    <w:name w:val="WW8Num6z0"/>
    <w:qFormat/>
    <w:rPr>
      <w:rFonts w:ascii="Wingdings" w:hAnsi="Wingdings" w:cs="Wingdings"/>
      <w:color w:val="auto"/>
      <w:sz w:val="20"/>
    </w:rPr>
  </w:style>
  <w:style w:type="character" w:styleId="WW8Num7z0">
    <w:name w:val="WW8Num7z0"/>
    <w:qFormat/>
    <w:rPr>
      <w:rFonts w:ascii="Wingdings" w:hAnsi="Wingdings" w:cs="Wingdings"/>
      <w:color w:val="auto"/>
      <w:sz w:val="20"/>
    </w:rPr>
  </w:style>
  <w:style w:type="character" w:styleId="WW8Num8z0">
    <w:name w:val="WW8Num8z0"/>
    <w:qFormat/>
    <w:rPr>
      <w:rFonts w:ascii="Symbol" w:hAnsi="Symbol" w:cs="Symbol"/>
      <w:color w:val="auto"/>
      <w:sz w:val="20"/>
    </w:rPr>
  </w:style>
  <w:style w:type="character" w:styleId="WW8Num9z0">
    <w:name w:val="WW8Num9z0"/>
    <w:qFormat/>
    <w:rPr>
      <w:rFonts w:ascii="Wingdings" w:hAnsi="Wingdings" w:cs="Wingdings"/>
      <w:color w:val="auto"/>
      <w:sz w:val="20"/>
    </w:rPr>
  </w:style>
  <w:style w:type="character" w:styleId="WW8Num10z0">
    <w:name w:val="WW8Num10z0"/>
    <w:qFormat/>
    <w:rPr>
      <w:rFonts w:ascii="Wingdings" w:hAnsi="Wingdings" w:cs="Wingdings"/>
      <w:color w:val="auto"/>
      <w:sz w:val="20"/>
    </w:rPr>
  </w:style>
  <w:style w:type="character" w:styleId="WW8Num11z0">
    <w:name w:val="WW8Num11z0"/>
    <w:qFormat/>
    <w:rPr>
      <w:rFonts w:ascii="Wingdings" w:hAnsi="Wingdings" w:cs="Wingdings"/>
      <w:color w:val="auto"/>
      <w:sz w:val="20"/>
    </w:rPr>
  </w:style>
  <w:style w:type="character" w:styleId="WW8Num12z0">
    <w:name w:val="WW8Num12z0"/>
    <w:qFormat/>
    <w:rPr>
      <w:rFonts w:ascii="Wingdings" w:hAnsi="Wingdings" w:cs="Wingdings"/>
      <w:color w:val="auto"/>
      <w:sz w:val="20"/>
    </w:rPr>
  </w:style>
  <w:style w:type="character" w:styleId="WW8Num13z0">
    <w:name w:val="WW8Num13z0"/>
    <w:qFormat/>
    <w:rPr>
      <w:rFonts w:ascii="Wingdings" w:hAnsi="Wingdings" w:cs="Wingdings"/>
      <w:color w:val="auto"/>
      <w:sz w:val="20"/>
    </w:rPr>
  </w:style>
  <w:style w:type="character" w:styleId="WW8Num14z0">
    <w:name w:val="WW8Num14z0"/>
    <w:qFormat/>
    <w:rPr/>
  </w:style>
  <w:style w:type="character" w:styleId="WW8Num15z0">
    <w:name w:val="WW8Num15z0"/>
    <w:qFormat/>
    <w:rPr>
      <w:rFonts w:ascii="Wingdings" w:hAnsi="Wingdings" w:cs="Wingdings"/>
      <w:color w:val="auto"/>
      <w:sz w:val="20"/>
    </w:rPr>
  </w:style>
  <w:style w:type="character" w:styleId="WW8Num16z0">
    <w:name w:val="WW8Num16z0"/>
    <w:qFormat/>
    <w:rPr>
      <w:rFonts w:ascii="Wingdings" w:hAnsi="Wingdings" w:cs="Wingdings"/>
      <w:color w:val="auto"/>
      <w:sz w:val="20"/>
    </w:rPr>
  </w:style>
  <w:style w:type="character" w:styleId="WW8Num17z0">
    <w:name w:val="WW8Num17z0"/>
    <w:qFormat/>
    <w:rPr>
      <w:rFonts w:ascii="Wingdings" w:hAnsi="Wingdings" w:cs="Wingdings"/>
      <w:color w:val="auto"/>
      <w:sz w:val="20"/>
    </w:rPr>
  </w:style>
  <w:style w:type="character" w:styleId="WW8Num18z0">
    <w:name w:val="WW8Num18z0"/>
    <w:qFormat/>
    <w:rPr>
      <w:rFonts w:ascii="Wingdings" w:hAnsi="Wingdings" w:cs="Wingdings"/>
      <w:color w:val="auto"/>
      <w:sz w:val="20"/>
    </w:rPr>
  </w:style>
  <w:style w:type="character" w:styleId="WW8Num19z0">
    <w:name w:val="WW8Num19z0"/>
    <w:qFormat/>
    <w:rPr>
      <w:rFonts w:ascii="Wingdings" w:hAnsi="Wingdings" w:cs="Wingdings"/>
      <w:color w:val="auto"/>
      <w:sz w:val="20"/>
    </w:rPr>
  </w:style>
  <w:style w:type="character" w:styleId="WW8Num20z0">
    <w:name w:val="WW8Num20z0"/>
    <w:qFormat/>
    <w:rPr>
      <w:rFonts w:ascii="Wingdings" w:hAnsi="Wingdings" w:cs="Wingdings"/>
      <w:color w:val="auto"/>
      <w:sz w:val="20"/>
    </w:rPr>
  </w:style>
  <w:style w:type="character" w:styleId="WW8Num21z0">
    <w:name w:val="WW8Num21z0"/>
    <w:qFormat/>
    <w:rPr>
      <w:rFonts w:ascii="Wingdings" w:hAnsi="Wingdings" w:cs="Wingdings"/>
      <w:color w:val="auto"/>
      <w:sz w:val="20"/>
    </w:rPr>
  </w:style>
  <w:style w:type="character" w:styleId="WW8Num22z0">
    <w:name w:val="WW8Num22z0"/>
    <w:qFormat/>
    <w:rPr>
      <w:rFonts w:ascii="Wingdings" w:hAnsi="Wingdings" w:cs="Wingdings"/>
      <w:color w:val="auto"/>
      <w:sz w:val="20"/>
    </w:rPr>
  </w:style>
  <w:style w:type="character" w:styleId="WW8Num23z0">
    <w:name w:val="WW8Num23z0"/>
    <w:qFormat/>
    <w:rPr>
      <w:rFonts w:ascii="Wingdings" w:hAnsi="Wingdings" w:cs="Wingdings"/>
      <w:color w:val="auto"/>
      <w:sz w:val="20"/>
    </w:rPr>
  </w:style>
  <w:style w:type="character" w:styleId="WW8Num24z0">
    <w:name w:val="WW8Num24z0"/>
    <w:qFormat/>
    <w:rPr>
      <w:rFonts w:ascii="Symbol" w:hAnsi="Symbol" w:cs="Symbol"/>
      <w:color w:val="auto"/>
      <w:sz w:val="20"/>
    </w:rPr>
  </w:style>
  <w:style w:type="character" w:styleId="WW8Num25z0">
    <w:name w:val="WW8Num25z0"/>
    <w:qFormat/>
    <w:rPr>
      <w:rFonts w:ascii="Wingdings" w:hAnsi="Wingdings" w:cs="Wingdings"/>
      <w:color w:val="auto"/>
      <w:sz w:val="20"/>
    </w:rPr>
  </w:style>
  <w:style w:type="character" w:styleId="WW8Num26z0">
    <w:name w:val="WW8Num26z0"/>
    <w:qFormat/>
    <w:rPr>
      <w:rFonts w:ascii="Symbol" w:hAnsi="Symbol" w:cs="Symbol"/>
      <w:color w:val="auto"/>
      <w:sz w:val="20"/>
    </w:rPr>
  </w:style>
  <w:style w:type="character" w:styleId="WW8Num27z0">
    <w:name w:val="WW8Num27z0"/>
    <w:qFormat/>
    <w:rPr>
      <w:rFonts w:ascii="Wingdings" w:hAnsi="Wingdings" w:cs="Wingdings"/>
      <w:color w:val="auto"/>
      <w:sz w:val="20"/>
    </w:rPr>
  </w:style>
  <w:style w:type="character" w:styleId="WW8Num28z0">
    <w:name w:val="WW8Num28z0"/>
    <w:qFormat/>
    <w:rPr>
      <w:rFonts w:ascii="Wingdings" w:hAnsi="Wingdings" w:cs="Wingdings"/>
      <w:color w:val="auto"/>
      <w:sz w:val="20"/>
    </w:rPr>
  </w:style>
  <w:style w:type="character" w:styleId="WW8Num29z0">
    <w:name w:val="WW8Num29z0"/>
    <w:qFormat/>
    <w:rPr>
      <w:rFonts w:ascii="Wingdings" w:hAnsi="Wingdings" w:cs="Wingdings"/>
      <w:color w:val="auto"/>
      <w:sz w:val="20"/>
    </w:rPr>
  </w:style>
  <w:style w:type="character" w:styleId="WW8Num30z0">
    <w:name w:val="WW8Num30z0"/>
    <w:qFormat/>
    <w:rPr/>
  </w:style>
  <w:style w:type="character" w:styleId="WW8Num31z0">
    <w:name w:val="WW8Num31z0"/>
    <w:qFormat/>
    <w:rPr>
      <w:rFonts w:ascii="Wingdings" w:hAnsi="Wingdings" w:cs="Wingdings"/>
      <w:color w:val="auto"/>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color w:val="auto"/>
      <w:sz w:val="20"/>
    </w:rPr>
  </w:style>
  <w:style w:type="character" w:styleId="WW8Num34z0">
    <w:name w:val="WW8Num34z0"/>
    <w:qFormat/>
    <w:rPr>
      <w:rFonts w:ascii="Wingdings" w:hAnsi="Wingdings" w:cs="Wingdings"/>
      <w:color w:val="auto"/>
      <w:sz w:val="20"/>
    </w:rPr>
  </w:style>
  <w:style w:type="character" w:styleId="WW8Num35z0">
    <w:name w:val="WW8Num35z0"/>
    <w:qFormat/>
    <w:rPr>
      <w:rFonts w:ascii="Wingdings" w:hAnsi="Wingdings" w:cs="Wingdings"/>
      <w:color w:val="auto"/>
      <w:sz w:val="20"/>
    </w:rPr>
  </w:style>
  <w:style w:type="character" w:styleId="WW8Num36z0">
    <w:name w:val="WW8Num36z0"/>
    <w:qFormat/>
    <w:rPr>
      <w:rFonts w:ascii="Wingdings" w:hAnsi="Wingdings" w:cs="Wingdings"/>
      <w:color w:val="auto"/>
      <w:sz w:val="20"/>
    </w:rPr>
  </w:style>
  <w:style w:type="character" w:styleId="WW8Num37z0">
    <w:name w:val="WW8Num37z0"/>
    <w:qFormat/>
    <w:rPr>
      <w:rFonts w:ascii="Wingdings" w:hAnsi="Wingdings" w:cs="Wingdings"/>
      <w:color w:val="auto"/>
      <w:sz w:val="20"/>
    </w:rPr>
  </w:style>
  <w:style w:type="character" w:styleId="WW8Num38z0">
    <w:name w:val="WW8Num38z0"/>
    <w:qFormat/>
    <w:rPr>
      <w:rFonts w:ascii="Wingdings" w:hAnsi="Wingdings" w:cs="Wingdings"/>
      <w:color w:val="auto"/>
      <w:sz w:val="20"/>
    </w:rPr>
  </w:style>
  <w:style w:type="character" w:styleId="WW8Num39z0">
    <w:name w:val="WW8Num39z0"/>
    <w:qFormat/>
    <w:rPr>
      <w:rFonts w:ascii="Wingdings" w:hAnsi="Wingdings" w:cs="Wingdings"/>
      <w:color w:val="auto"/>
      <w:sz w:val="20"/>
    </w:rPr>
  </w:style>
  <w:style w:type="character" w:styleId="WW8Num40z0">
    <w:name w:val="WW8Num40z0"/>
    <w:qFormat/>
    <w:rPr>
      <w:rFonts w:ascii="Wingdings" w:hAnsi="Wingdings" w:cs="Wingdings"/>
      <w:color w:val="auto"/>
      <w:sz w:val="20"/>
    </w:rPr>
  </w:style>
  <w:style w:type="character" w:styleId="WW8Num41z0">
    <w:name w:val="WW8Num41z0"/>
    <w:qFormat/>
    <w:rPr/>
  </w:style>
  <w:style w:type="character" w:styleId="WW8Num42z0">
    <w:name w:val="WW8Num42z0"/>
    <w:qFormat/>
    <w:rPr>
      <w:rFonts w:ascii="Wingdings" w:hAnsi="Wingdings" w:cs="Wingdings"/>
      <w:color w:val="auto"/>
      <w:sz w:val="20"/>
    </w:rPr>
  </w:style>
  <w:style w:type="character" w:styleId="WW8Num43z0">
    <w:name w:val="WW8Num43z0"/>
    <w:qFormat/>
    <w:rPr>
      <w:rFonts w:ascii="Wingdings" w:hAnsi="Wingdings" w:cs="Wingdings"/>
      <w:color w:val="auto"/>
      <w:sz w:val="20"/>
    </w:rPr>
  </w:style>
  <w:style w:type="character" w:styleId="WW8Num44z0">
    <w:name w:val="WW8Num44z0"/>
    <w:qFormat/>
    <w:rPr>
      <w:rFonts w:ascii="Wingdings" w:hAnsi="Wingdings" w:cs="Wingdings"/>
      <w:color w:val="auto"/>
      <w:sz w:val="20"/>
    </w:rPr>
  </w:style>
  <w:style w:type="character" w:styleId="WW8Num45z0">
    <w:name w:val="WW8Num45z0"/>
    <w:qFormat/>
    <w:rPr>
      <w:rFonts w:ascii="Symbol" w:hAnsi="Symbol" w:cs="Symbol"/>
      <w:color w:val="auto"/>
      <w:sz w:val="20"/>
    </w:rPr>
  </w:style>
  <w:style w:type="character" w:styleId="WW8Num46z0">
    <w:name w:val="WW8Num46z0"/>
    <w:qFormat/>
    <w:rPr>
      <w:rFonts w:ascii="Wingdings" w:hAnsi="Wingdings" w:cs="Wingdings"/>
      <w:color w:val="auto"/>
      <w:sz w:val="20"/>
    </w:rPr>
  </w:style>
  <w:style w:type="character" w:styleId="WW8Num47z0">
    <w:name w:val="WW8Num4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1440" w:leader="none"/>
        <w:tab w:val="left" w:pos="-720" w:leader="none"/>
        <w:tab w:val="left" w:pos="0" w:leader="none"/>
        <w:tab w:val="left" w:pos="720" w:leader="none"/>
        <w:tab w:val="left" w:pos="1800" w:leader="none"/>
        <w:tab w:val="left" w:pos="2160" w:leader="none"/>
      </w:tabs>
      <w:suppressAutoHyphens w:val="true"/>
      <w:jc w:val="both"/>
    </w:pPr>
    <w:rPr>
      <w:spacing w:val="-2"/>
      <w:lang w:val="en-GB"/>
    </w:rPr>
  </w:style>
  <w:style w:type="paragraph" w:styleId="BodyTextIndent">
    <w:name w:val="Body Text Indent"/>
    <w:basedOn w:val="Normal"/>
    <w:pPr>
      <w:ind w:hanging="0" w:start="360" w:end="0"/>
      <w:jc w:val="both"/>
    </w:pPr>
    <w:rPr>
      <w:i/>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aizS@Texaco.com" TargetMode="External"/><Relationship Id="rId3" Type="http://schemas.openxmlformats.org/officeDocument/2006/relationships/hyperlink" Target="mailto:FaizS@Texaco.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2000-10-15T15:43:00Z</dcterms:created>
  <dc:creator>Soussan Faiz</dc:creator>
  <dc:description/>
  <dc:language>en-CA</dc:language>
  <cp:lastModifiedBy>Soussan Faiz</cp:lastModifiedBy>
  <dcterms:modified xsi:type="dcterms:W3CDTF">2000-10-16T10:35:00Z</dcterms:modified>
  <cp:revision>6</cp:revision>
  <dc:subject/>
  <dc:title>Soussan Faiz</dc:title>
</cp:coreProperties>
</file>