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548640" cy="4114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5" r="-4" b="-5"/>
                    <a:stretch>
                      <a:fillRect/>
                    </a:stretch>
                  </pic:blipFill>
                  <pic:spPr bwMode="auto">
                    <a:xfrm>
                      <a:off x="0" y="0"/>
                      <a:ext cx="548640" cy="411480"/>
                    </a:xfrm>
                    <a:prstGeom prst="rect">
                      <a:avLst/>
                    </a:prstGeom>
                    <a:noFill/>
                  </pic:spPr>
                </pic:pic>
              </a:graphicData>
            </a:graphic>
          </wp:inline>
        </w:drawing>
        <mc:AlternateContent>
          <mc:Choice Requires="wps">
            <w:drawing>
              <wp:anchor behindDoc="0" distT="0" distB="0" distL="114935" distR="114935" simplePos="0" locked="0" layoutInCell="0" allowOverlap="1" relativeHeight="3">
                <wp:simplePos x="0" y="0"/>
                <wp:positionH relativeFrom="page">
                  <wp:posOffset>182880</wp:posOffset>
                </wp:positionH>
                <wp:positionV relativeFrom="paragraph">
                  <wp:posOffset>-91440</wp:posOffset>
                </wp:positionV>
                <wp:extent cx="7315835" cy="635"/>
                <wp:effectExtent l="635" t="6350" r="635" b="6350"/>
                <wp:wrapNone/>
                <wp:docPr id="2" name=""/>
                <a:graphic xmlns:a="http://schemas.openxmlformats.org/drawingml/2006/main">
                  <a:graphicData uri="http://schemas.microsoft.com/office/word/2010/wordprocessingShape">
                    <wps:wsp>
                      <wps:cNvSpPr/>
                      <wps:spPr>
                        <a:xfrm>
                          <a:off x="0" y="0"/>
                          <a:ext cx="7315920" cy="72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4.4pt,-7.2pt" to="590.4pt,-7.2pt" stroked="t" o:allowincell="f" style="position:absolute;mso-position-horizontal-relative:page">
                <v:stroke color="black" weight="12600" joinstyle="miter" endcap="flat"/>
                <v:fill o:detectmouseclick="t" on="false"/>
                <w10:wrap type="none"/>
              </v:line>
            </w:pict>
          </mc:Fallback>
        </mc:AlternateContent>
      </w:r>
      <w:r>
        <mc:AlternateContent>
          <mc:Choice Requires="wps">
            <w:drawing>
              <wp:anchor behindDoc="0" distT="0" distB="0" distL="114935" distR="114935" simplePos="0" locked="0" layoutInCell="0" allowOverlap="1" relativeHeight="4">
                <wp:simplePos x="0" y="0"/>
                <wp:positionH relativeFrom="page">
                  <wp:posOffset>1554480</wp:posOffset>
                </wp:positionH>
                <wp:positionV relativeFrom="paragraph">
                  <wp:posOffset>-76200</wp:posOffset>
                </wp:positionV>
                <wp:extent cx="549275" cy="183515"/>
                <wp:effectExtent l="0" t="0" r="0" b="0"/>
                <wp:wrapNone/>
                <wp:docPr id="3" name="Frame1"/>
                <a:graphic xmlns:a="http://schemas.openxmlformats.org/drawingml/2006/main">
                  <a:graphicData uri="http://schemas.microsoft.com/office/word/2010/wordprocessingShape">
                    <wps:wsp>
                      <wps:cNvSpPr txBox="1"/>
                      <wps:spPr>
                        <a:xfrm>
                          <a:off x="0" y="0"/>
                          <a:ext cx="549275" cy="183515"/>
                        </a:xfrm>
                        <a:prstGeom prst="rect"/>
                        <a:solidFill>
                          <a:srgbClr val="FFFFFF">
                            <a:alpha val="0"/>
                          </a:srgbClr>
                        </a:solidFill>
                      </wps:spPr>
                      <wps:txbx>
                        <w:txbxContent>
                          <w:p>
                            <w:pPr>
                              <w:pStyle w:val="Normal"/>
                              <w:jc w:val="center"/>
                              <w:rPr>
                                <w:b/>
                                <w:sz w:val="16"/>
                              </w:rPr>
                            </w:pPr>
                            <w:r>
                              <w:rPr>
                                <w:b/>
                                <w:sz w:val="16"/>
                              </w:rPr>
                              <w:t>Texaco</w:t>
                            </w:r>
                          </w:p>
                        </w:txbxContent>
                      </wps:txbx>
                      <wps:bodyPr anchor="t" lIns="13335" tIns="13335" rIns="13335" bIns="13335">
                        <a:noAutofit/>
                      </wps:bodyPr>
                    </wps:wsp>
                  </a:graphicData>
                </a:graphic>
              </wp:anchor>
            </w:drawing>
          </mc:Choice>
          <mc:Fallback>
            <w:pict>
              <v:rect fillcolor="#FFFFFF" style="position:absolute;rotation:-0;width:43.25pt;height:14.45pt;mso-wrap-distance-left:9.05pt;mso-wrap-distance-right:9.05pt;mso-wrap-distance-top:0pt;mso-wrap-distance-bottom:0pt;margin-top:-6pt;mso-position-vertical-relative:text;margin-left:122.4pt;mso-position-horizontal-relative:page">
                <v:fill opacity="0f"/>
                <v:textbox inset="0.0145833333333333in,0.0145833333333333in,0.0145833333333333in,0.0145833333333333in">
                  <w:txbxContent>
                    <w:p>
                      <w:pPr>
                        <w:pStyle w:val="Normal"/>
                        <w:jc w:val="center"/>
                        <w:rPr>
                          <w:b/>
                          <w:sz w:val="16"/>
                        </w:rPr>
                      </w:pPr>
                      <w:r>
                        <w:rPr>
                          <w:b/>
                          <w:sz w:val="16"/>
                        </w:rPr>
                        <w:t>Texaco</w:t>
                      </w:r>
                    </w:p>
                  </w:txbxContent>
                </v:textbox>
                <w10:wrap type="none"/>
              </v:rect>
            </w:pict>
          </mc:Fallback>
        </mc:AlternateContent>
      </w:r>
    </w:p>
    <w:p>
      <w:pPr>
        <w:pStyle w:val="Normal"/>
        <w:rPr/>
      </w:pPr>
      <w:r>
        <w:rPr>
          <w:b/>
        </w:rPr>
        <w:t>DATE:</w:t>
      </w:r>
      <w:r>
        <w:rPr/>
        <w:tab/>
        <w:t>July 27, 2000</w:t>
      </w:r>
    </w:p>
    <w:p>
      <w:pPr>
        <w:pStyle w:val="Normal"/>
        <w:rPr/>
      </w:pPr>
      <w:r>
        <w:rPr/>
      </w:r>
    </w:p>
    <w:p>
      <w:pPr>
        <w:pStyle w:val="Normal"/>
        <w:rPr/>
      </w:pPr>
      <w:r>
        <w:rPr>
          <w:b/>
        </w:rPr>
        <w:t>TO:</w:t>
        <w:tab/>
        <w:tab/>
      </w:r>
      <w:r>
        <w:rPr/>
        <w:t>Ron Robinson</w:t>
      </w:r>
    </w:p>
    <w:p>
      <w:pPr>
        <w:pStyle w:val="Normal"/>
        <w:rPr>
          <w:b/>
        </w:rPr>
      </w:pPr>
      <w:r>
        <w:rPr>
          <w:b/>
        </w:rPr>
        <w:tab/>
        <w:tab/>
      </w:r>
    </w:p>
    <w:p>
      <w:pPr>
        <w:pStyle w:val="Normal"/>
        <w:rPr>
          <w:u w:val="single"/>
        </w:rPr>
      </w:pPr>
      <w:r>
        <w:rPr>
          <w:b/>
        </w:rPr>
        <w:t>FROM:</w:t>
        <w:tab/>
      </w:r>
      <w:r>
        <w:rPr/>
        <w:t>Drew Overpeck</w:t>
      </w:r>
    </w:p>
    <w:p>
      <w:pPr>
        <w:pStyle w:val="Normal"/>
        <w:rPr/>
      </w:pPr>
      <w:r>
        <w:rPr/>
        <w:tab/>
        <w:tab/>
      </w:r>
    </w:p>
    <w:p>
      <w:pPr>
        <w:pStyle w:val="Normal"/>
        <w:rPr/>
      </w:pPr>
      <w:r>
        <w:rPr>
          <w:b/>
        </w:rPr>
        <w:t>SUBJECT:</w:t>
      </w:r>
      <w:r>
        <w:rPr/>
        <w:tab/>
      </w:r>
      <w:r>
        <w:rPr>
          <w:color w:val="000000"/>
        </w:rPr>
        <w:t>Soussan Faiz – Nomination for Texaco Fellowship</w:t>
      </w:r>
    </w:p>
    <w:p>
      <w:pPr>
        <w:pStyle w:val="Normal"/>
        <w:rPr>
          <w:color w:val="000000"/>
        </w:rPr>
      </w:pPr>
      <w:r>
        <w:rPr>
          <w:color w:val="000000"/>
        </w:rPr>
      </w:r>
    </w:p>
    <w:p>
      <w:pPr>
        <w:pStyle w:val="Normal"/>
        <w:jc w:val="both"/>
        <w:rPr>
          <w:color w:val="000000"/>
        </w:rPr>
      </w:pPr>
      <w:r>
        <w:rPr>
          <w:color w:val="000000"/>
        </w:rPr>
        <w:t>I recommend Soussan for the 2000 Texaco Fellow Program.  Her outstanding achievements and contribution in enabling the application of innovative business technologies and enhanced value-based analytical techniques are progressively visible across Texaco (see attachments).  JRM concurs with this recommendation.</w:t>
      </w:r>
    </w:p>
    <w:p>
      <w:pPr>
        <w:pStyle w:val="Normal"/>
        <w:jc w:val="both"/>
        <w:rPr>
          <w:color w:val="000000"/>
        </w:rPr>
      </w:pPr>
      <w:r>
        <w:rPr>
          <w:color w:val="000000"/>
        </w:rPr>
      </w:r>
    </w:p>
    <w:p>
      <w:pPr>
        <w:pStyle w:val="Normal"/>
        <w:jc w:val="both"/>
        <w:rPr/>
      </w:pPr>
      <w:r>
        <w:rPr>
          <w:color w:val="000000"/>
        </w:rPr>
        <w:t xml:space="preserve">Soussan joined Texaco Ltd., London in 1984 and soon became a sought-after employee (see resume).  In addition to her recognition for many successful and lasting systems implementations, in 1989, she was formally accredited by the chairman of Texaco Ltd. for her outstanding work on portfolio optimization.  Soussan, in collaboration with Finance, unleashed an additional 35% return on the company’s pension fund for the same level of acceptable risk and her recommendations were embraced for future fund management.  In 1990, she eliminated the costly TEXERAS (Texaco Exploration and Economics Risk Assessment System) mainframe application for Texaco Europe and replaced it with an innovative PC-based system.  In late 1993, she was transferred to Corporate Planning and Economics, Harrison, due to her proven track record and exceptional aptitude on investment risk analysis.  Although her initial responsibilities were focused on Downstream operations, as part of a select risk team, her solution and recommendations on economics risk assessment were approved as the Company Standard, as reflected in Circular 9.  Soussan’s specialized knowledge and credibility was further recognized during her numerous training seminars and executive presentations and by her demonstrated contribution to over 25 major </w:t>
      </w:r>
      <w:r>
        <w:rPr/>
        <w:t>global investment projects and portfolio considerations across Upstream, Midstream, Downstream and New Business.</w:t>
      </w:r>
    </w:p>
    <w:p>
      <w:pPr>
        <w:pStyle w:val="Normal"/>
        <w:jc w:val="both"/>
        <w:rPr/>
      </w:pPr>
      <w:r>
        <w:rPr/>
        <w:t xml:space="preserve"> </w:t>
      </w:r>
    </w:p>
    <w:p>
      <w:pPr>
        <w:pStyle w:val="Normal"/>
        <w:jc w:val="both"/>
        <w:rPr/>
      </w:pPr>
      <w:r>
        <w:rPr/>
        <w:t xml:space="preserve">Not being content with conventional practice and proactively seeking innovation, she next expanded her “toolbox” to include other aspects of shareholder value creation, value delivery, and value protection under uncertainty.  In 1998, she introduced Real Options Valuation (ROV) -- state-of-the-art business technology that enables a more creative, dynamic, and market-disciplined approach to asset valuation and management -- to the Company.  This was articulated through several presentations, “white” papers, a staged business plan, and a pilot application.  To-date she has successfully overseen 7 additional applications (see attachment 2) at project and portfolio level and has identified over $1.5BN worth of option value.  Soussan’s </w:t>
      </w:r>
      <w:r>
        <w:rPr>
          <w:color w:val="000000"/>
        </w:rPr>
        <w:t>tireless education and communication on ROV is increasingly being embraced across the Company, as is evidenced by another 7 requests for application, from e-business screening to Upstream portfolio consideration.  In pursuit of her vision for an enterprise-wide systemic approach, she has recently initiated the ambitious task of linking ROV with portfolio optimization, enterprise risk management, and value-based performance metrics.</w:t>
      </w:r>
    </w:p>
    <w:p>
      <w:pPr>
        <w:pStyle w:val="Normal"/>
        <w:jc w:val="both"/>
        <w:rPr>
          <w:color w:val="000000"/>
        </w:rPr>
      </w:pPr>
      <w:r>
        <w:rPr>
          <w:color w:val="000000"/>
        </w:rPr>
      </w:r>
    </w:p>
    <w:p>
      <w:pPr>
        <w:pStyle w:val="Normal"/>
        <w:jc w:val="both"/>
        <w:rPr>
          <w:color w:val="000000"/>
        </w:rPr>
      </w:pPr>
      <w:r>
        <w:rPr>
          <w:color w:val="000000"/>
        </w:rPr>
        <w:t>Soussan is a driven self-starter, risk-taker, and persuasive team-player who proactively challenges status quo and overcomes setbacks with additional determination and creative solutions.  She has been awarded 2 IOCs for her resilience and business technology innovation and application.  She is determined to transform the Company in capitalizing on business technology as a critical core competency.  She believes that this capability and disciplined application will produce tangible results, will be recognized by the security analysts, and will reflect in commensurate stock-price appreciation.</w:t>
      </w:r>
    </w:p>
    <w:p>
      <w:pPr>
        <w:pStyle w:val="Normal"/>
        <w:jc w:val="both"/>
        <w:rPr>
          <w:color w:val="000000"/>
        </w:rPr>
      </w:pPr>
      <w:r>
        <w:rPr>
          <w:color w:val="000000"/>
        </w:rPr>
        <w:t xml:space="preserve"> </w:t>
      </w:r>
    </w:p>
    <w:p>
      <w:pPr>
        <w:pStyle w:val="BodyText2"/>
        <w:rPr/>
      </w:pPr>
      <w:r>
        <w:rPr/>
        <w:t>In addition to internal recognition, Soussan’s thought-leadership, knowledge, and perseverance have earned her a remarkable reputation, externally.  She is considered a pioneer and popular industry champion on ROV among leading academics, management consulting firms, and business practitioners.  Her external invitations have been extended to 47 venues: speaking engagements; teaching; panel chairing or participation; paper submittal and book contribution; press interviews; and industry knowledge-sharing networks (see attachment 3).  Her speaking engagements have included not only conferences around the world and beyond the industry, but also teaching seminars at MBA and post-graduate levels.  In the most recent Annual International Conference on Real Options in Cambridge, England, she was invited as a key speaker, session-chair, and a member of a distinguished panel, including Professor Myron Scholes --  1997 Nobel Laureate in Economics and the co-inventor of the breakthrough Black-Scholes option-pricing formula.  Soussan has been asked to write a chapter for publication by the prestigious Risk Books and by the journal of Financial Practice and Education (FPE).  She was interviewed and quoted by CFO Europe and the CFO magazine last year.  Ernst &amp; Young and A. D. Little have attributed this external presence and achievement to Texaco’s image and reputation as a pacesetter in business technology innovation and application.</w:t>
      </w:r>
    </w:p>
    <w:p>
      <w:pPr>
        <w:pStyle w:val="Normal"/>
        <w:jc w:val="both"/>
        <w:rPr>
          <w:color w:val="000000"/>
        </w:rPr>
      </w:pPr>
      <w:r>
        <w:rPr>
          <w:color w:val="000000"/>
        </w:rPr>
      </w:r>
    </w:p>
    <w:p>
      <w:pPr>
        <w:pStyle w:val="Normal"/>
        <w:jc w:val="both"/>
        <w:rPr>
          <w:color w:val="000000"/>
        </w:rPr>
      </w:pPr>
      <w:r>
        <w:rPr>
          <w:color w:val="000000"/>
        </w:rPr>
        <w:t>Furthermore, Sprint PCS, Anadarko, BP Amoco, Enron, Shell, Marathon, and Dupont have separately sought her expertise on “best-practices” and “lessons learned” on ROV and applications.  Her credibility and leadership was acknowledged by the Society of Petroleum Engineers (SPE) who, having invited her to present at their 2000 annual technical conference, placed her paper (attachment 4) first among over seventy submittals on economics and evaluation.  In addition, she is on the Corporate Advisory Board of the Real Options Group -- a  globally recognized academic group that fosters Real Options research, consulting services, executive training and education in the field (see attachment 5).</w:t>
      </w:r>
    </w:p>
    <w:p>
      <w:pPr>
        <w:pStyle w:val="Normal"/>
        <w:jc w:val="both"/>
        <w:rPr>
          <w:color w:val="000000"/>
        </w:rPr>
      </w:pPr>
      <w:r>
        <w:rPr>
          <w:color w:val="000000"/>
        </w:rPr>
      </w:r>
    </w:p>
    <w:p>
      <w:pPr>
        <w:pStyle w:val="Normal"/>
        <w:jc w:val="both"/>
        <w:rPr>
          <w:color w:val="000000"/>
        </w:rPr>
      </w:pPr>
      <w:r>
        <w:rPr>
          <w:color w:val="000000"/>
        </w:rPr>
        <w:t>I regard Soussan as a very valuable Texaco employee.  She should be recognized as a Texaco fellow for her expertise and exceptional contribution.</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Footer"/>
        <w:tabs>
          <w:tab w:val="clear" w:pos="4320"/>
          <w:tab w:val="clear" w:pos="8640"/>
        </w:tabs>
        <w:rPr/>
      </w:pPr>
      <w:r>
        <w:rPr/>
        <w:t>Drew Overpeck</w:t>
      </w:r>
    </w:p>
    <w:p>
      <w:pPr>
        <w:pStyle w:val="Footer"/>
        <w:tabs>
          <w:tab w:val="clear" w:pos="4320"/>
          <w:tab w:val="clear" w:pos="8640"/>
        </w:tabs>
        <w:rPr/>
      </w:pPr>
      <w:r>
        <w:rPr/>
        <w:t>Strategic Management Group</w:t>
      </w:r>
    </w:p>
    <w:p>
      <w:pPr>
        <w:pStyle w:val="Footer"/>
        <w:tabs>
          <w:tab w:val="clear" w:pos="4320"/>
          <w:tab w:val="clear" w:pos="8640"/>
        </w:tabs>
        <w:rPr/>
      </w:pPr>
      <w:r>
        <w:rPr/>
        <w:t>Corporate Planning and Economics</w:t>
      </w:r>
    </w:p>
    <w:p>
      <w:pPr>
        <w:pStyle w:val="Footer"/>
        <w:tabs>
          <w:tab w:val="clear" w:pos="4320"/>
          <w:tab w:val="clear" w:pos="8640"/>
        </w:tabs>
        <w:rPr/>
      </w:pPr>
      <w:r>
        <w:rPr/>
      </w:r>
    </w:p>
    <w:p>
      <w:pPr>
        <w:pStyle w:val="Footer"/>
        <w:tabs>
          <w:tab w:val="clear" w:pos="4320"/>
          <w:tab w:val="clear" w:pos="8640"/>
        </w:tabs>
        <w:rPr/>
      </w:pPr>
      <w:r>
        <w:rPr/>
        <w:t>cc   Jim Metzger</w:t>
      </w:r>
    </w:p>
    <w:p>
      <w:pPr>
        <w:pStyle w:val="Footer"/>
        <w:tabs>
          <w:tab w:val="clear" w:pos="4320"/>
          <w:tab w:val="clear" w:pos="8640"/>
        </w:tabs>
        <w:rPr/>
      </w:pPr>
      <w:r>
        <w:rPr/>
      </w:r>
    </w:p>
    <w:p>
      <w:pPr>
        <w:pStyle w:val="Footer"/>
        <w:tabs>
          <w:tab w:val="clear" w:pos="4320"/>
          <w:tab w:val="clear" w:pos="8640"/>
        </w:tabs>
        <w:rPr>
          <w:u w:val="single"/>
        </w:rPr>
      </w:pPr>
      <w:r>
        <w:rPr>
          <w:u w:val="single"/>
        </w:rPr>
        <w:t>Attachments</w:t>
      </w:r>
    </w:p>
    <w:p>
      <w:pPr>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pPr>
    </w:p>
    <w:p>
      <w:pPr>
        <w:pStyle w:val="Footer"/>
        <w:numPr>
          <w:ilvl w:val="0"/>
          <w:numId w:val="2"/>
        </w:numPr>
        <w:tabs>
          <w:tab w:val="clear" w:pos="4320"/>
          <w:tab w:val="clear" w:pos="8640"/>
        </w:tabs>
        <w:rPr/>
      </w:pPr>
      <w:r>
        <w:rPr/>
        <w:t>Resume</w:t>
      </w:r>
    </w:p>
    <w:p>
      <w:pPr>
        <w:pStyle w:val="Footer"/>
        <w:numPr>
          <w:ilvl w:val="0"/>
          <w:numId w:val="2"/>
        </w:numPr>
        <w:tabs>
          <w:tab w:val="clear" w:pos="4320"/>
          <w:tab w:val="clear" w:pos="8640"/>
        </w:tabs>
        <w:rPr/>
      </w:pPr>
      <w:r>
        <w:rPr/>
        <w:t>ROV applications within Texaco</w:t>
      </w:r>
    </w:p>
    <w:p>
      <w:pPr>
        <w:pStyle w:val="Footer"/>
        <w:numPr>
          <w:ilvl w:val="0"/>
          <w:numId w:val="2"/>
        </w:numPr>
        <w:tabs>
          <w:tab w:val="clear" w:pos="4320"/>
          <w:tab w:val="clear" w:pos="8640"/>
        </w:tabs>
        <w:rPr/>
      </w:pPr>
      <w:r>
        <w:rPr/>
        <w:t>External invitations</w:t>
      </w:r>
    </w:p>
    <w:p>
      <w:pPr>
        <w:pStyle w:val="Footer"/>
        <w:numPr>
          <w:ilvl w:val="0"/>
          <w:numId w:val="2"/>
        </w:numPr>
        <w:tabs>
          <w:tab w:val="clear" w:pos="4320"/>
          <w:tab w:val="clear" w:pos="8640"/>
        </w:tabs>
        <w:rPr/>
      </w:pPr>
      <w:r>
        <w:rPr/>
        <w:t>SPE 62964</w:t>
      </w:r>
    </w:p>
    <w:p>
      <w:pPr>
        <w:pStyle w:val="Footer"/>
        <w:numPr>
          <w:ilvl w:val="0"/>
          <w:numId w:val="2"/>
        </w:numPr>
        <w:tabs>
          <w:tab w:val="clear" w:pos="4320"/>
          <w:tab w:val="clear" w:pos="8640"/>
        </w:tabs>
        <w:rPr/>
      </w:pPr>
      <w:r>
        <w:rPr/>
        <w:t>Real Options Group (ROG)</w:t>
      </w:r>
    </w:p>
    <w:p>
      <w:pPr>
        <w:pStyle w:val="Footer"/>
        <w:numPr>
          <w:ilvl w:val="0"/>
          <w:numId w:val="2"/>
        </w:numPr>
        <w:tabs>
          <w:tab w:val="clear" w:pos="4320"/>
          <w:tab w:val="clear" w:pos="8640"/>
        </w:tabs>
        <w:rPr/>
      </w:pPr>
      <w:r>
        <w:rPr/>
        <w:t>Job Description</w:t>
      </w:r>
    </w:p>
    <w:sectPr>
      <w:type w:val="continuous"/>
      <w:pgSz w:w="12240" w:h="15840"/>
      <w:pgMar w:left="1440" w:right="1440" w:gutter="0" w:header="0" w:top="1440" w:footer="720" w:bottom="1440"/>
      <w:cols w:num="2" w:space="708"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r>
      <w:rPr>
        <w:rStyle w:val="PageNumber"/>
      </w:rPr>
      <w:t>of 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w:t>
    </w:r>
    <w:r>
      <w:rPr/>
      <w:fldChar w:fldCharType="end"/>
    </w:r>
    <w:r>
      <w:rPr/>
      <w:t xml:space="preserve"> </w:t>
    </w:r>
    <w:r>
      <w:rPr/>
      <w:t>of 3</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2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outlineLvl w:val="1"/>
    </w:pPr>
    <w:rPr>
      <w:b/>
      <w:sz w:val="20"/>
      <w:u w:val="single"/>
    </w:rPr>
  </w:style>
  <w:style w:type="character" w:styleId="WW8Num2z0">
    <w:name w:val="WW8Num2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color w:val="000000"/>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2000-07-23T13:06:00Z</dcterms:created>
  <dc:creator>Texaco Inc.</dc:creator>
  <dc:description/>
  <dc:language>en-CA</dc:language>
  <cp:lastModifiedBy>faizs</cp:lastModifiedBy>
  <cp:lastPrinted>2000-07-27T11:15:00Z</cp:lastPrinted>
  <dcterms:modified xsi:type="dcterms:W3CDTF">2000-07-27T13:35:00Z</dcterms:modified>
  <cp:revision>26</cp:revision>
  <dc:subject/>
  <dc:title> </dc:title>
</cp:coreProperties>
</file>