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SHELLY FRIESENHAHN</w:t>
      </w:r>
    </w:p>
    <w:p>
      <w:pPr>
        <w:pStyle w:val="Normal"/>
        <w:jc w:val="center"/>
        <w:rPr>
          <w:b/>
        </w:rPr>
      </w:pPr>
      <w:r>
        <w:rPr>
          <w:b/>
        </w:rPr>
        <w:t>2300 Old Spanish Trail  No 2053</w:t>
      </w:r>
    </w:p>
    <w:p>
      <w:pPr>
        <w:pStyle w:val="Heading1"/>
        <w:ind w:hanging="0" w:start="0"/>
        <w:rPr/>
      </w:pPr>
      <w:r>
        <w:rPr/>
        <w:t>Houston, Texas 77054</w:t>
      </w:r>
    </w:p>
    <w:p>
      <w:pPr>
        <w:pStyle w:val="Normal"/>
        <w:jc w:val="center"/>
        <w:rPr/>
      </w:pPr>
      <w:r>
        <w:rPr/>
        <w:t>HM (713) 796 -9606 Wk (713) 853-3442</w:t>
      </w:r>
    </w:p>
    <w:tbl>
      <w:tblPr>
        <w:tblW w:w="9720" w:type="dxa"/>
        <w:jc w:val="start"/>
        <w:tblInd w:w="57" w:type="dxa"/>
        <w:tblLayout w:type="fixed"/>
        <w:tblCellMar>
          <w:top w:w="0" w:type="dxa"/>
          <w:start w:w="57" w:type="dxa"/>
          <w:bottom w:w="0" w:type="dxa"/>
          <w:end w:w="57" w:type="dxa"/>
        </w:tblCellMar>
      </w:tblPr>
      <w:tblGrid>
        <w:gridCol w:w="9720"/>
      </w:tblGrid>
      <w:tr>
        <w:trPr/>
        <w:tc>
          <w:tcPr>
            <w:tcW w:w="9720" w:type="dxa"/>
            <w:tcBorders>
              <w:top w:val="single" w:sz="6" w:space="0" w:color="000000"/>
            </w:tcBorders>
          </w:tcPr>
          <w:p>
            <w:pPr>
              <w:pStyle w:val="DefaultParagraphFont1"/>
              <w:jc w:val="both"/>
              <w:rPr>
                <w:rFonts w:ascii="Times New Roman" w:hAnsi="Times New Roman" w:cs="Times New Roman"/>
                <w:b/>
                <w:sz w:val="24"/>
                <w:u w:val="single"/>
                <w:lang w:val="en-US"/>
              </w:rPr>
            </w:pPr>
            <w:r>
              <w:rPr>
                <w:rFonts w:cs="Times New Roman" w:ascii="Times New Roman" w:hAnsi="Times New Roman"/>
                <w:b/>
                <w:sz w:val="24"/>
                <w:lang w:val="en-US"/>
              </w:rPr>
              <w:t>EDUCATION</w:t>
            </w:r>
          </w:p>
        </w:tc>
      </w:tr>
    </w:tbl>
    <w:p>
      <w:pPr>
        <w:pStyle w:val="DefaultParagraphFont1"/>
        <w:tabs>
          <w:tab w:val="left" w:pos="720" w:leader="none"/>
        </w:tabs>
        <w:rPr>
          <w:rFonts w:ascii="Times New Roman" w:hAnsi="Times New Roman" w:cs="Times New Roman"/>
          <w:sz w:val="22"/>
          <w:lang w:val="en-US"/>
        </w:rPr>
      </w:pPr>
      <w:r>
        <w:rPr>
          <w:rFonts w:cs="Times New Roman" w:ascii="Times New Roman" w:hAnsi="Times New Roman"/>
          <w:b/>
          <w:sz w:val="22"/>
        </w:rPr>
        <w:tab/>
        <w:t>Texas A&amp;M University</w:t>
      </w:r>
      <w:r>
        <w:rPr>
          <w:rFonts w:cs="Times New Roman" w:ascii="Times New Roman" w:hAnsi="Times New Roman"/>
          <w:sz w:val="22"/>
        </w:rPr>
        <w:t>, College Station, Texas  (January 1993 - December 1995)</w:t>
      </w:r>
    </w:p>
    <w:p>
      <w:pPr>
        <w:pStyle w:val="DefaultParagraphFont1"/>
        <w:tabs>
          <w:tab w:val="clear" w:pos="720"/>
          <w:tab w:val="left" w:pos="1440" w:leader="none"/>
        </w:tabs>
        <w:rPr>
          <w:rFonts w:ascii="Times New Roman" w:hAnsi="Times New Roman" w:cs="Times New Roman"/>
          <w:sz w:val="22"/>
          <w:lang w:val="en-US"/>
        </w:rPr>
      </w:pPr>
      <w:r>
        <w:rPr>
          <w:rFonts w:cs="Times New Roman" w:ascii="Times New Roman" w:hAnsi="Times New Roman"/>
          <w:sz w:val="22"/>
        </w:rPr>
        <w:tab/>
        <w:t xml:space="preserve">Bachelor of  Business Administration in Management and Marketing </w:t>
      </w:r>
    </w:p>
    <w:p>
      <w:pPr>
        <w:pStyle w:val="DefaultParagraphFont1"/>
        <w:tabs>
          <w:tab w:val="clear" w:pos="720"/>
          <w:tab w:val="left" w:pos="630" w:leader="none"/>
          <w:tab w:val="left" w:pos="2160" w:leader="none"/>
          <w:tab w:val="left" w:pos="2250" w:leader="none"/>
        </w:tabs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ab/>
        <w:tab/>
        <w:tab/>
        <w:t>Graduation:  December 1995                G.P.R. 3.4</w:t>
      </w:r>
    </w:p>
    <w:p>
      <w:pPr>
        <w:pStyle w:val="DefaultParagraphFont1"/>
        <w:tabs>
          <w:tab w:val="left" w:pos="0" w:leader="none"/>
          <w:tab w:val="left" w:pos="720" w:leader="none"/>
        </w:tabs>
        <w:rPr>
          <w:rFonts w:ascii="Times New Roman" w:hAnsi="Times New Roman" w:cs="Times New Roman"/>
          <w:sz w:val="24"/>
          <w:lang w:val="en-US"/>
        </w:rPr>
      </w:pPr>
      <w:r>
        <w:rPr>
          <w:rFonts w:cs="Times New Roman" w:ascii="Times New Roman" w:hAnsi="Times New Roman"/>
          <w:b/>
          <w:sz w:val="22"/>
        </w:rPr>
        <w:tab/>
        <w:t>Texas Christian University</w:t>
      </w:r>
      <w:r>
        <w:rPr>
          <w:rFonts w:cs="Times New Roman" w:ascii="Times New Roman" w:hAnsi="Times New Roman"/>
          <w:sz w:val="22"/>
        </w:rPr>
        <w:t>, Fort Worth, Texas  (August 1991 - December 1992)</w:t>
      </w:r>
    </w:p>
    <w:p>
      <w:pPr>
        <w:pStyle w:val="DefaultParagraphFont1"/>
        <w:jc w:val="both"/>
        <w:rPr>
          <w:rFonts w:ascii="Times New Roman" w:hAnsi="Times New Roman" w:cs="Times New Roman"/>
          <w:lang w:val="en-US"/>
        </w:rPr>
      </w:pPr>
      <w:r>
        <w:rPr>
          <w:rFonts w:cs="Times New Roman" w:ascii="Times New Roman" w:hAnsi="Times New Roman"/>
          <w:sz w:val="10"/>
        </w:rPr>
        <w:tab/>
        <w:t xml:space="preserve"> </w:t>
      </w:r>
    </w:p>
    <w:p>
      <w:pPr>
        <w:pStyle w:val="DefaultParagraphFont1"/>
        <w:jc w:val="both"/>
        <w:rPr>
          <w:rFonts w:ascii="Times New Roman" w:hAnsi="Times New Roman" w:cs="Times New Roman"/>
          <w:b/>
          <w:sz w:val="24"/>
        </w:rPr>
      </w:pPr>
      <w:r>
        <w:rPr>
          <w:rFonts w:cs="Times New Roman" w:ascii="Times New Roman" w:hAnsi="Times New Roman"/>
          <w:b/>
          <w:sz w:val="24"/>
        </w:rPr>
        <w:t>WORK EXPERIENCE</w:t>
      </w:r>
    </w:p>
    <w:p>
      <w:pPr>
        <w:pStyle w:val="Normal"/>
        <w:tabs>
          <w:tab w:val="left" w:pos="0" w:leader="none"/>
          <w:tab w:val="left" w:pos="90" w:leader="none"/>
          <w:tab w:val="left" w:pos="720" w:leader="none"/>
        </w:tabs>
        <w:rPr/>
      </w:pPr>
      <w:r>
        <w:rPr>
          <w:b/>
        </w:rPr>
        <w:tab/>
        <w:t xml:space="preserve">Enron, </w:t>
      </w:r>
      <w:r>
        <w:rPr/>
        <w:t xml:space="preserve">Associate, August 1998-Present </w:t>
        <w:tab/>
        <w:t>Analyst, August 1997-August 1998</w:t>
      </w:r>
    </w:p>
    <w:p>
      <w:pPr>
        <w:pStyle w:val="Normal"/>
        <w:tabs>
          <w:tab w:val="clear" w:pos="720"/>
          <w:tab w:val="left" w:pos="90" w:leader="none"/>
          <w:tab w:val="left" w:pos="180" w:leader="none"/>
          <w:tab w:val="left" w:pos="540" w:leader="none"/>
          <w:tab w:val="left" w:pos="630" w:leader="none"/>
        </w:tabs>
        <w:ind w:firstLine="450" w:end="0"/>
        <w:rPr>
          <w:b/>
        </w:rPr>
      </w:pPr>
      <w:r>
        <w:rPr>
          <w:b/>
        </w:rPr>
        <w:t>Investor Relations</w:t>
      </w:r>
    </w:p>
    <w:p>
      <w:pPr>
        <w:pStyle w:val="Normal"/>
        <w:ind w:hanging="540" w:start="1170" w:end="0"/>
        <w:rPr>
          <w:b/>
          <w:sz w:val="20"/>
        </w:rPr>
      </w:pPr>
      <w:r>
        <w:rPr>
          <w:rFonts w:eastAsia="Wingdings" w:cs="Wingdings" w:ascii="Wingdings" w:hAnsi="Wingdings"/>
          <w:sz w:val="16"/>
        </w:rPr>
        <w:sym w:font="Wingdings" w:char="f076"/>
      </w:r>
      <w:r>
        <w:rPr>
          <w:sz w:val="20"/>
        </w:rPr>
        <w:t>Preparation of quarterly Enron performance presentation for analysts and investors.</w:t>
      </w:r>
    </w:p>
    <w:p>
      <w:pPr>
        <w:pStyle w:val="Normal"/>
        <w:tabs>
          <w:tab w:val="clear" w:pos="720"/>
          <w:tab w:val="left" w:pos="-270" w:leader="none"/>
          <w:tab w:val="left" w:pos="-90" w:leader="none"/>
        </w:tabs>
        <w:ind w:hanging="540" w:start="1170" w:end="0"/>
        <w:rPr/>
      </w:pPr>
      <w:r>
        <w:rPr>
          <w:rFonts w:eastAsia="Wingdings" w:cs="Wingdings" w:ascii="Wingdings" w:hAnsi="Wingdings"/>
          <w:sz w:val="16"/>
        </w:rPr>
        <w:sym w:font="Wingdings" w:char="f076"/>
      </w:r>
      <w:r>
        <w:rPr>
          <w:sz w:val="20"/>
        </w:rPr>
        <w:t>Analysis and tracking of valuation and performance of Enron Broadband Services (EBS) peers.</w:t>
      </w:r>
    </w:p>
    <w:p>
      <w:pPr>
        <w:pStyle w:val="Normal"/>
        <w:ind w:hanging="540" w:start="1170" w:end="0"/>
        <w:rPr/>
      </w:pPr>
      <w:r>
        <w:rPr>
          <w:rFonts w:eastAsia="Wingdings" w:cs="Wingdings" w:ascii="Wingdings" w:hAnsi="Wingdings"/>
          <w:sz w:val="16"/>
        </w:rPr>
        <w:sym w:font="Wingdings" w:char="f076"/>
      </w:r>
      <w:r>
        <w:rPr>
          <w:sz w:val="20"/>
        </w:rPr>
        <w:t>Research and evaluation of bandwidth exchanges</w:t>
      </w:r>
    </w:p>
    <w:p>
      <w:pPr>
        <w:pStyle w:val="Normal"/>
        <w:tabs>
          <w:tab w:val="clear" w:pos="720"/>
          <w:tab w:val="left" w:pos="90" w:leader="none"/>
          <w:tab w:val="left" w:pos="180" w:leader="none"/>
          <w:tab w:val="left" w:pos="540" w:leader="none"/>
          <w:tab w:val="left" w:pos="630" w:leader="none"/>
        </w:tabs>
        <w:ind w:firstLine="450" w:end="0"/>
        <w:rPr>
          <w:sz w:val="20"/>
        </w:rPr>
      </w:pPr>
      <w:r>
        <w:rPr>
          <w:sz w:val="20"/>
        </w:rPr>
        <w:tab/>
        <w:tab/>
      </w:r>
    </w:p>
    <w:p>
      <w:pPr>
        <w:pStyle w:val="Normal"/>
        <w:tabs>
          <w:tab w:val="clear" w:pos="720"/>
          <w:tab w:val="left" w:pos="90" w:leader="none"/>
          <w:tab w:val="left" w:pos="180" w:leader="none"/>
          <w:tab w:val="left" w:pos="540" w:leader="none"/>
          <w:tab w:val="left" w:pos="630" w:leader="none"/>
        </w:tabs>
        <w:ind w:firstLine="450" w:end="0"/>
        <w:rPr/>
      </w:pPr>
      <w:r>
        <w:rPr>
          <w:b/>
        </w:rPr>
        <w:t xml:space="preserve">Enron Energy Services, </w:t>
      </w:r>
      <w:r>
        <w:rPr/>
        <w:t>Capital Management Group</w:t>
      </w:r>
    </w:p>
    <w:p>
      <w:pPr>
        <w:pStyle w:val="Normal"/>
        <w:ind w:hanging="540" w:start="1170" w:end="0"/>
        <w:rPr/>
      </w:pPr>
      <w:r>
        <w:rPr>
          <w:rFonts w:eastAsia="Wingdings" w:cs="Wingdings" w:ascii="Wingdings" w:hAnsi="Wingdings"/>
          <w:sz w:val="16"/>
        </w:rPr>
        <w:sym w:font="Wingdings" w:char="f076"/>
      </w:r>
      <w:r>
        <w:rPr>
          <w:sz w:val="20"/>
        </w:rPr>
        <w:t>Financial structuring of over $133mm consisting of leases, prepayment of savings, termination fees and equity kickers.</w:t>
      </w:r>
    </w:p>
    <w:p>
      <w:pPr>
        <w:pStyle w:val="Normal"/>
        <w:ind w:hanging="540" w:start="1170" w:end="0"/>
        <w:rPr/>
      </w:pPr>
      <w:r>
        <w:rPr>
          <w:rFonts w:eastAsia="Wingdings" w:cs="Wingdings" w:ascii="Wingdings" w:hAnsi="Wingdings"/>
          <w:sz w:val="16"/>
        </w:rPr>
        <w:sym w:font="Wingdings" w:char="f076"/>
      </w:r>
      <w:r>
        <w:rPr>
          <w:sz w:val="20"/>
        </w:rPr>
        <w:t>Valuation of financial strength for several companies requiring pro forma, comparable, and WACC analysis, as well as, investigation of issues specific to individual companies.</w:t>
      </w:r>
    </w:p>
    <w:p>
      <w:pPr>
        <w:pStyle w:val="Normal"/>
        <w:ind w:hanging="540" w:start="1170" w:end="0"/>
        <w:rPr/>
      </w:pPr>
      <w:r>
        <w:rPr>
          <w:rFonts w:eastAsia="Wingdings" w:cs="Wingdings" w:ascii="Wingdings" w:hAnsi="Wingdings"/>
          <w:sz w:val="16"/>
        </w:rPr>
        <w:sym w:font="Wingdings" w:char="f076"/>
      </w:r>
      <w:r>
        <w:rPr>
          <w:sz w:val="20"/>
        </w:rPr>
        <w:t>Research and evaluation of the barter and leasing industries.</w:t>
      </w:r>
    </w:p>
    <w:p>
      <w:pPr>
        <w:pStyle w:val="Normal"/>
        <w:tabs>
          <w:tab w:val="clear" w:pos="720"/>
          <w:tab w:val="left" w:pos="90" w:leader="none"/>
          <w:tab w:val="left" w:pos="180" w:leader="none"/>
          <w:tab w:val="left" w:pos="540" w:leader="none"/>
          <w:tab w:val="left" w:pos="630" w:leader="none"/>
        </w:tabs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tabs>
          <w:tab w:val="clear" w:pos="720"/>
          <w:tab w:val="left" w:pos="90" w:leader="none"/>
          <w:tab w:val="left" w:pos="180" w:leader="none"/>
          <w:tab w:val="left" w:pos="540" w:leader="none"/>
          <w:tab w:val="left" w:pos="630" w:leader="none"/>
        </w:tabs>
        <w:ind w:firstLine="450" w:end="0"/>
        <w:rPr>
          <w:b/>
        </w:rPr>
      </w:pPr>
      <w:r>
        <w:rPr>
          <w:b/>
        </w:rPr>
        <w:t>Enron Energy Services</w:t>
      </w:r>
      <w:r>
        <w:rPr/>
        <w:t>, Consumer Services Group</w:t>
      </w:r>
    </w:p>
    <w:p>
      <w:pPr>
        <w:pStyle w:val="Normal"/>
        <w:tabs>
          <w:tab w:val="left" w:pos="90" w:leader="none"/>
          <w:tab w:val="left" w:pos="180" w:leader="none"/>
          <w:tab w:val="left" w:pos="270" w:leader="none"/>
          <w:tab w:val="left" w:pos="360" w:leader="none"/>
          <w:tab w:val="left" w:pos="720" w:leader="none"/>
          <w:tab w:val="left" w:pos="810" w:leader="none"/>
        </w:tabs>
        <w:ind w:hanging="450" w:start="1080" w:end="-79"/>
        <w:rPr/>
      </w:pPr>
      <w:r>
        <w:rPr>
          <w:rFonts w:eastAsia="Wingdings" w:cs="Wingdings" w:ascii="Wingdings" w:hAnsi="Wingdings"/>
          <w:sz w:val="16"/>
        </w:rPr>
        <w:sym w:font="Wingdings" w:char="f076"/>
      </w:r>
      <w:r>
        <w:rPr>
          <w:sz w:val="20"/>
        </w:rPr>
        <w:t>Responsible for six market initiatives involving 93% of customer base and fund management of $1.280mm</w:t>
      </w:r>
    </w:p>
    <w:p>
      <w:pPr>
        <w:pStyle w:val="Normal"/>
        <w:tabs>
          <w:tab w:val="left" w:pos="90" w:leader="none"/>
          <w:tab w:val="left" w:pos="450" w:leader="none"/>
          <w:tab w:val="left" w:pos="630" w:leader="none"/>
          <w:tab w:val="left" w:pos="720" w:leader="none"/>
          <w:tab w:val="left" w:pos="900" w:leader="none"/>
          <w:tab w:val="left" w:pos="990" w:leader="none"/>
          <w:tab w:val="left" w:pos="1080" w:leader="none"/>
          <w:tab w:val="left" w:pos="1170" w:leader="none"/>
        </w:tabs>
        <w:ind w:hanging="450" w:start="1080" w:end="0"/>
        <w:rPr/>
      </w:pPr>
      <w:r>
        <w:rPr>
          <w:rFonts w:eastAsia="Wingdings" w:cs="Wingdings" w:ascii="Wingdings" w:hAnsi="Wingdings"/>
          <w:sz w:val="16"/>
        </w:rPr>
        <w:sym w:font="Wingdings" w:char="f076"/>
      </w:r>
      <w:r>
        <w:rPr>
          <w:sz w:val="20"/>
        </w:rPr>
        <w:t xml:space="preserve">Developer of market entry strategy for Pennsylvania electricity market, including evaluation of: </w:t>
      </w:r>
    </w:p>
    <w:p>
      <w:pPr>
        <w:pStyle w:val="Normal"/>
        <w:tabs>
          <w:tab w:val="left" w:pos="90" w:leader="none"/>
          <w:tab w:val="left" w:pos="450" w:leader="none"/>
          <w:tab w:val="left" w:pos="630" w:leader="none"/>
          <w:tab w:val="left" w:pos="720" w:leader="none"/>
          <w:tab w:val="left" w:pos="900" w:leader="none"/>
          <w:tab w:val="left" w:pos="990" w:leader="none"/>
          <w:tab w:val="left" w:pos="1170" w:leader="none"/>
        </w:tabs>
        <w:ind w:hanging="450" w:start="1170" w:end="0"/>
        <w:rPr>
          <w:sz w:val="20"/>
        </w:rPr>
      </w:pPr>
      <w:r>
        <w:rPr>
          <w:sz w:val="20"/>
        </w:rPr>
        <w:tab/>
        <w:tab/>
        <w:tab/>
        <w:t>regulatory environment, utility cost structure, financial modeling, and coordination of program operations.</w:t>
      </w:r>
    </w:p>
    <w:p>
      <w:pPr>
        <w:pStyle w:val="Normal"/>
        <w:tabs>
          <w:tab w:val="left" w:pos="90" w:leader="none"/>
          <w:tab w:val="left" w:pos="180" w:leader="none"/>
          <w:tab w:val="left" w:pos="270" w:leader="none"/>
          <w:tab w:val="left" w:pos="360" w:leader="none"/>
          <w:tab w:val="left" w:pos="720" w:leader="none"/>
          <w:tab w:val="left" w:pos="810" w:leader="none"/>
        </w:tabs>
        <w:ind w:hanging="450" w:start="630" w:end="0"/>
        <w:rPr/>
      </w:pPr>
      <w:r>
        <w:rPr>
          <w:sz w:val="18"/>
        </w:rPr>
        <w:tab/>
        <w:tab/>
        <w:tab/>
      </w:r>
      <w:r>
        <w:rPr>
          <w:rFonts w:eastAsia="Wingdings" w:cs="Wingdings" w:ascii="Wingdings" w:hAnsi="Wingdings"/>
          <w:sz w:val="16"/>
        </w:rPr>
        <w:sym w:font="Wingdings" w:char="f076"/>
      </w:r>
      <w:r>
        <w:rPr>
          <w:sz w:val="20"/>
        </w:rPr>
        <w:t>Establishment of first integrated, muti-market database specific to consumer energy business.</w:t>
      </w:r>
    </w:p>
    <w:p>
      <w:pPr>
        <w:pStyle w:val="Normal"/>
        <w:tabs>
          <w:tab w:val="left" w:pos="90" w:leader="none"/>
          <w:tab w:val="left" w:pos="180" w:leader="none"/>
          <w:tab w:val="left" w:pos="270" w:leader="none"/>
          <w:tab w:val="left" w:pos="360" w:leader="none"/>
          <w:tab w:val="left" w:pos="720" w:leader="none"/>
          <w:tab w:val="left" w:pos="810" w:leader="none"/>
        </w:tabs>
        <w:ind w:hanging="360" w:start="990" w:end="0"/>
        <w:rPr/>
      </w:pPr>
      <w:r>
        <w:rPr>
          <w:rFonts w:eastAsia="Wingdings" w:cs="Wingdings" w:ascii="Wingdings" w:hAnsi="Wingdings"/>
          <w:sz w:val="16"/>
        </w:rPr>
        <w:sym w:font="Wingdings" w:char="f076"/>
      </w:r>
      <w:r>
        <w:rPr>
          <w:sz w:val="20"/>
        </w:rPr>
        <w:t>Detailed analysis and active participation in deregulation of electricity and natural gas markets across USA.</w:t>
      </w:r>
    </w:p>
    <w:p>
      <w:pPr>
        <w:pStyle w:val="Normal"/>
        <w:tabs>
          <w:tab w:val="clear" w:pos="720"/>
          <w:tab w:val="left" w:pos="180" w:leader="none"/>
          <w:tab w:val="left" w:pos="270" w:leader="none"/>
          <w:tab w:val="left" w:pos="450" w:leader="none"/>
          <w:tab w:val="left" w:pos="630" w:leader="none"/>
          <w:tab w:val="left" w:pos="810" w:leader="none"/>
          <w:tab w:val="left" w:pos="1170" w:leader="none"/>
        </w:tabs>
        <w:ind w:hanging="540" w:start="1170" w:end="0"/>
        <w:rPr/>
      </w:pPr>
      <w:r>
        <w:rPr>
          <w:rFonts w:eastAsia="Wingdings" w:cs="Wingdings" w:ascii="Wingdings" w:hAnsi="Wingdings"/>
          <w:sz w:val="16"/>
        </w:rPr>
        <w:sym w:font="Wingdings" w:char="f076"/>
      </w:r>
      <w:r>
        <w:rPr>
          <w:sz w:val="20"/>
        </w:rPr>
        <w:t>Creation of National Sales Report, requiring multi-office coordination to develop necessary systems and reporting procedures.</w:t>
      </w:r>
    </w:p>
    <w:p>
      <w:pPr>
        <w:pStyle w:val="DefaultParagraphFont1"/>
        <w:tabs>
          <w:tab w:val="left" w:pos="180" w:leader="none"/>
          <w:tab w:val="left" w:pos="360" w:leader="none"/>
          <w:tab w:val="left" w:pos="720" w:leader="none"/>
        </w:tabs>
        <w:rPr>
          <w:rFonts w:ascii="Times New Roman" w:hAnsi="Times New Roman" w:cs="Times New Roman"/>
          <w:color w:val="000000"/>
          <w:sz w:val="20"/>
          <w:lang w:val="en-US"/>
        </w:rPr>
      </w:pPr>
      <w:r>
        <w:rPr>
          <w:rFonts w:cs="Times New Roman" w:ascii="Times New Roman" w:hAnsi="Times New Roman"/>
          <w:color w:val="000000"/>
          <w:sz w:val="20"/>
          <w:lang w:val="en-US"/>
        </w:rPr>
      </w:r>
    </w:p>
    <w:p>
      <w:pPr>
        <w:pStyle w:val="Normal"/>
        <w:tabs>
          <w:tab w:val="clear" w:pos="720"/>
          <w:tab w:val="left" w:pos="180" w:leader="none"/>
          <w:tab w:val="left" w:pos="270" w:leader="none"/>
          <w:tab w:val="left" w:pos="450" w:leader="none"/>
          <w:tab w:val="left" w:pos="630" w:leader="none"/>
          <w:tab w:val="left" w:pos="810" w:leader="none"/>
          <w:tab w:val="left" w:pos="1260" w:leader="none"/>
        </w:tabs>
        <w:ind w:hanging="540" w:start="1170" w:end="0"/>
        <w:rPr/>
      </w:pPr>
      <w:r>
        <w:rPr>
          <w:b/>
        </w:rPr>
        <w:t xml:space="preserve">Enron Capital &amp; Trade Resources, </w:t>
      </w:r>
      <w:r>
        <w:rPr/>
        <w:t>Professional Development Program, December 1995-August 1997</w:t>
      </w:r>
    </w:p>
    <w:p>
      <w:pPr>
        <w:pStyle w:val="Normal"/>
        <w:tabs>
          <w:tab w:val="clear" w:pos="720"/>
          <w:tab w:val="left" w:pos="180" w:leader="none"/>
          <w:tab w:val="left" w:pos="270" w:leader="none"/>
          <w:tab w:val="left" w:pos="450" w:leader="none"/>
          <w:tab w:val="left" w:pos="630" w:leader="none"/>
          <w:tab w:val="left" w:pos="810" w:leader="none"/>
          <w:tab w:val="left" w:pos="1260" w:leader="none"/>
        </w:tabs>
        <w:ind w:hanging="540" w:start="1170" w:end="0"/>
        <w:rPr/>
      </w:pPr>
      <w:r>
        <w:rPr>
          <w:rFonts w:eastAsia="Wingdings" w:cs="Wingdings" w:ascii="Wingdings" w:hAnsi="Wingdings"/>
          <w:sz w:val="16"/>
        </w:rPr>
        <w:sym w:font="Wingdings" w:char="f076"/>
      </w:r>
      <w:r>
        <w:rPr>
          <w:sz w:val="20"/>
        </w:rPr>
        <w:t>Power Risk Management Portfolio Administrator</w:t>
      </w:r>
    </w:p>
    <w:p>
      <w:pPr>
        <w:pStyle w:val="Normal"/>
        <w:tabs>
          <w:tab w:val="clear" w:pos="720"/>
          <w:tab w:val="left" w:pos="180" w:leader="none"/>
          <w:tab w:val="left" w:pos="270" w:leader="none"/>
          <w:tab w:val="left" w:pos="450" w:leader="none"/>
          <w:tab w:val="left" w:pos="630" w:leader="none"/>
          <w:tab w:val="left" w:pos="810" w:leader="none"/>
          <w:tab w:val="left" w:pos="1170" w:leader="none"/>
        </w:tabs>
        <w:ind w:hanging="540" w:start="1170" w:end="0"/>
        <w:rPr>
          <w:sz w:val="20"/>
        </w:rPr>
      </w:pPr>
      <w:r>
        <w:rPr>
          <w:sz w:val="20"/>
        </w:rPr>
        <w:tab/>
        <w:tab/>
        <w:t xml:space="preserve">Requiring daily risk assessment of commodity positions and P&amp;L for over twenty-six power traders. </w:t>
      </w:r>
    </w:p>
    <w:p>
      <w:pPr>
        <w:pStyle w:val="Normal"/>
        <w:tabs>
          <w:tab w:val="left" w:pos="90" w:leader="none"/>
          <w:tab w:val="left" w:pos="180" w:leader="none"/>
          <w:tab w:val="left" w:pos="630" w:leader="none"/>
          <w:tab w:val="left" w:pos="720" w:leader="none"/>
        </w:tabs>
        <w:ind w:end="-216"/>
        <w:rPr/>
      </w:pPr>
      <w:r>
        <w:rPr>
          <w:sz w:val="18"/>
        </w:rPr>
        <w:tab/>
        <w:tab/>
        <w:tab/>
      </w:r>
      <w:r>
        <w:rPr>
          <w:rFonts w:eastAsia="Wingdings" w:cs="Wingdings" w:ascii="Wingdings" w:hAnsi="Wingdings"/>
          <w:sz w:val="16"/>
        </w:rPr>
        <w:sym w:font="Wingdings" w:char="f076"/>
      </w:r>
      <w:r>
        <w:rPr>
          <w:sz w:val="20"/>
        </w:rPr>
        <w:t xml:space="preserve">Trading Controls for Risk Management  </w:t>
      </w:r>
    </w:p>
    <w:p>
      <w:pPr>
        <w:pStyle w:val="BodyText"/>
        <w:ind w:hanging="540" w:start="1170" w:end="0"/>
        <w:rPr/>
      </w:pPr>
      <w:r>
        <w:rPr>
          <w:sz w:val="20"/>
        </w:rPr>
        <w:tab/>
        <w:tab/>
        <w:tab/>
      </w:r>
      <w:r>
        <w:rPr>
          <w:color w:val="000000"/>
          <w:sz w:val="20"/>
        </w:rPr>
        <w:t xml:space="preserve">Preparation of Daily Position Report for ECT and Enron Management regarding all ECT  </w:t>
      </w:r>
    </w:p>
    <w:p>
      <w:pPr>
        <w:pStyle w:val="BodyText"/>
        <w:tabs>
          <w:tab w:val="left" w:pos="180" w:leader="none"/>
          <w:tab w:val="left" w:pos="630" w:leader="none"/>
          <w:tab w:val="left" w:pos="900" w:leader="none"/>
          <w:tab w:val="left" w:pos="990" w:leader="none"/>
          <w:tab w:val="left" w:pos="1170" w:leader="none"/>
        </w:tabs>
        <w:ind w:hanging="450" w:start="1080" w:end="0"/>
        <w:rPr>
          <w:color w:val="000000"/>
          <w:sz w:val="20"/>
        </w:rPr>
      </w:pPr>
      <w:r>
        <w:rPr>
          <w:color w:val="000000"/>
          <w:sz w:val="20"/>
        </w:rPr>
        <w:tab/>
        <w:tab/>
        <w:tab/>
        <w:tab/>
        <w:t>trading activity. Performed detailed analysis of traded commodities to insure the accuracy</w:t>
      </w:r>
    </w:p>
    <w:p>
      <w:pPr>
        <w:pStyle w:val="BodyText"/>
        <w:ind w:hanging="540" w:start="1170" w:end="0"/>
        <w:rPr>
          <w:color w:val="000000"/>
          <w:sz w:val="20"/>
        </w:rPr>
      </w:pPr>
      <w:r>
        <w:rPr>
          <w:color w:val="000000"/>
          <w:sz w:val="20"/>
        </w:rPr>
        <w:tab/>
        <w:tab/>
        <w:tab/>
        <w:t xml:space="preserve">of multiple portfolio positions and revenues.   </w:t>
      </w:r>
    </w:p>
    <w:p>
      <w:pPr>
        <w:pStyle w:val="Normal"/>
        <w:tabs>
          <w:tab w:val="left" w:pos="180" w:leader="none"/>
          <w:tab w:val="left" w:pos="630" w:leader="none"/>
          <w:tab w:val="left" w:pos="720" w:leader="none"/>
        </w:tabs>
        <w:ind w:hanging="540" w:start="1170" w:end="0"/>
        <w:rPr/>
      </w:pPr>
      <w:r>
        <w:rPr>
          <w:rFonts w:eastAsia="Wingdings" w:cs="Wingdings" w:ascii="Wingdings" w:hAnsi="Wingdings"/>
          <w:sz w:val="16"/>
        </w:rPr>
        <w:sym w:font="Wingdings" w:char="f076"/>
      </w:r>
      <w:r>
        <w:rPr>
          <w:sz w:val="20"/>
        </w:rPr>
        <w:t>Systems testing and modifications to improve the risk management process.</w:t>
      </w:r>
    </w:p>
    <w:p>
      <w:pPr>
        <w:pStyle w:val="DefaultParagraphFont1"/>
        <w:tabs>
          <w:tab w:val="clear" w:pos="720"/>
          <w:tab w:val="left" w:pos="180" w:leader="none"/>
          <w:tab w:val="left" w:pos="450" w:leader="none"/>
          <w:tab w:val="left" w:pos="630" w:leader="none"/>
        </w:tabs>
        <w:rPr>
          <w:rFonts w:ascii="Times New Roman" w:hAnsi="Times New Roman" w:cs="Times New Roman"/>
          <w:lang w:val="en-US"/>
        </w:rPr>
      </w:pPr>
      <w:r>
        <w:rPr>
          <w:rFonts w:cs="Times New Roman" w:ascii="Times New Roman" w:hAnsi="Times New Roman"/>
          <w:lang w:val="en-US"/>
        </w:rPr>
      </w:r>
    </w:p>
    <w:p>
      <w:pPr>
        <w:pStyle w:val="Normal"/>
        <w:tabs>
          <w:tab w:val="clear" w:pos="720"/>
          <w:tab w:val="left" w:pos="180" w:leader="none"/>
          <w:tab w:val="left" w:pos="450" w:leader="none"/>
          <w:tab w:val="left" w:pos="630" w:leader="none"/>
        </w:tabs>
        <w:rPr/>
      </w:pPr>
      <w:r>
        <w:rPr>
          <w:b/>
        </w:rPr>
        <w:tab/>
        <w:t>College of Business Administration (CBA) Fellows and Honors Programs</w:t>
      </w:r>
      <w:r>
        <w:rPr/>
        <w:t xml:space="preserve">, </w:t>
        <w:tab/>
        <w:tab/>
        <w:tab/>
        <w:tab/>
        <w:tab/>
        <w:tab/>
        <w:t>Program Coordinator, College Station, Texas, January 1995- December 1995</w:t>
      </w:r>
    </w:p>
    <w:p>
      <w:pPr>
        <w:pStyle w:val="Normal"/>
        <w:tabs>
          <w:tab w:val="left" w:pos="270" w:leader="none"/>
          <w:tab w:val="left" w:pos="720" w:leader="none"/>
          <w:tab w:val="left" w:pos="900" w:leader="none"/>
          <w:tab w:val="left" w:pos="1080" w:leader="none"/>
        </w:tabs>
        <w:ind w:hanging="540" w:start="1170" w:end="0"/>
        <w:rPr/>
      </w:pPr>
      <w:r>
        <w:rPr>
          <w:rFonts w:eastAsia="Wingdings" w:cs="Wingdings" w:ascii="Wingdings" w:hAnsi="Wingdings"/>
          <w:sz w:val="16"/>
        </w:rPr>
        <w:sym w:font="Wingdings" w:char="f076"/>
      </w:r>
      <w:r>
        <w:rPr>
          <w:sz w:val="20"/>
        </w:rPr>
        <w:t xml:space="preserve">Recruiting Coordinator for Group XIV involving modification of recruiting program, interviewing over 250 applicants, public relations, and organizing a staff of nine people. </w:t>
      </w:r>
    </w:p>
    <w:p>
      <w:pPr>
        <w:pStyle w:val="Normal"/>
        <w:tabs>
          <w:tab w:val="left" w:pos="270" w:leader="none"/>
          <w:tab w:val="left" w:pos="720" w:leader="none"/>
          <w:tab w:val="left" w:pos="900" w:leader="none"/>
          <w:tab w:val="left" w:pos="990" w:leader="none"/>
        </w:tabs>
        <w:ind w:hanging="360" w:start="990" w:end="0"/>
        <w:rPr/>
      </w:pPr>
      <w:r>
        <w:rPr>
          <w:rFonts w:eastAsia="Wingdings" w:cs="Wingdings" w:ascii="Wingdings" w:hAnsi="Wingdings"/>
          <w:sz w:val="16"/>
        </w:rPr>
        <w:sym w:font="Wingdings" w:char="f076"/>
      </w:r>
      <w:r>
        <w:rPr>
          <w:sz w:val="20"/>
        </w:rPr>
        <w:t>Organized CBA Fellows in-depth study of Pier One Imports.</w:t>
      </w:r>
    </w:p>
    <w:p>
      <w:pPr>
        <w:pStyle w:val="Normal"/>
        <w:tabs>
          <w:tab w:val="left" w:pos="270" w:leader="none"/>
          <w:tab w:val="left" w:pos="720" w:leader="none"/>
          <w:tab w:val="left" w:pos="900" w:leader="none"/>
          <w:tab w:val="left" w:pos="990" w:leader="none"/>
        </w:tabs>
        <w:ind w:hanging="360" w:start="990" w:end="0"/>
        <w:rPr>
          <w:sz w:val="20"/>
        </w:rPr>
      </w:pPr>
      <w:r>
        <w:rPr>
          <w:sz w:val="20"/>
        </w:rPr>
      </w:r>
    </w:p>
    <w:p>
      <w:pPr>
        <w:pStyle w:val="Heading2"/>
        <w:rPr/>
      </w:pPr>
      <w:r>
        <w:rPr/>
        <w:t>Internships</w:t>
      </w:r>
      <w:r>
        <w:rPr>
          <w:b w:val="false"/>
        </w:rPr>
        <w:t>, Target Stores – 1995, Clarke American 1994</w:t>
      </w:r>
    </w:p>
    <w:p>
      <w:pPr>
        <w:pStyle w:val="DefaultParagraphFont1"/>
        <w:tabs>
          <w:tab w:val="left" w:pos="270" w:leader="none"/>
          <w:tab w:val="left" w:pos="720" w:leader="none"/>
          <w:tab w:val="left" w:pos="990" w:leader="none"/>
          <w:tab w:val="left" w:pos="2250" w:leader="none"/>
        </w:tabs>
        <w:ind w:hanging="450" w:start="1080" w:end="0"/>
        <w:jc w:val="both"/>
        <w:rPr/>
      </w:pPr>
      <w:r>
        <w:rPr>
          <w:rFonts w:eastAsia="Wingdings" w:cs="Wingdings" w:ascii="Wingdings" w:hAnsi="Wingdings"/>
          <w:sz w:val="16"/>
        </w:rPr>
        <w:sym w:font="Wingdings" w:char="f076"/>
      </w:r>
      <w:r>
        <w:rPr>
          <w:rFonts w:cs="Times New Roman" w:ascii="Times New Roman" w:hAnsi="Times New Roman"/>
          <w:color w:val="000000"/>
          <w:lang w:val="en-US"/>
        </w:rPr>
        <w:t xml:space="preserve">Target Sores - Specialization in forcasting sales, strategic issues for the company, and coordinating approximately </w:t>
      </w:r>
    </w:p>
    <w:p>
      <w:pPr>
        <w:pStyle w:val="DefaultParagraphFont1"/>
        <w:tabs>
          <w:tab w:val="left" w:pos="270" w:leader="none"/>
          <w:tab w:val="left" w:pos="720" w:leader="none"/>
          <w:tab w:val="left" w:pos="990" w:leader="none"/>
          <w:tab w:val="left" w:pos="1170" w:leader="none"/>
          <w:tab w:val="left" w:pos="2250" w:leader="none"/>
        </w:tabs>
        <w:ind w:hanging="450" w:start="1170" w:end="0"/>
        <w:jc w:val="both"/>
        <w:rPr>
          <w:rFonts w:ascii="Times New Roman" w:hAnsi="Times New Roman" w:cs="Times New Roman"/>
          <w:color w:val="000000"/>
          <w:lang w:val="en-US"/>
        </w:rPr>
      </w:pPr>
      <w:r>
        <w:rPr>
          <w:rFonts w:cs="Times New Roman" w:ascii="Times New Roman" w:hAnsi="Times New Roman"/>
          <w:color w:val="000000"/>
          <w:lang w:val="en-US"/>
        </w:rPr>
        <w:tab/>
        <w:tab/>
        <w:t>150 employees.</w:t>
      </w:r>
    </w:p>
    <w:p>
      <w:pPr>
        <w:pStyle w:val="DefaultParagraphFont1"/>
        <w:tabs>
          <w:tab w:val="clear" w:pos="720"/>
          <w:tab w:val="left" w:pos="810" w:leader="none"/>
          <w:tab w:val="left" w:pos="1710" w:leader="none"/>
        </w:tabs>
        <w:ind w:hanging="540" w:start="1170" w:end="0"/>
        <w:jc w:val="both"/>
        <w:rPr>
          <w:rFonts w:ascii="Times New Roman" w:hAnsi="Times New Roman" w:cs="Times New Roman"/>
          <w:lang w:val="en-US"/>
        </w:rPr>
      </w:pPr>
      <w:r>
        <w:rPr>
          <w:rFonts w:eastAsia="Wingdings" w:cs="Wingdings" w:ascii="Wingdings" w:hAnsi="Wingdings"/>
          <w:sz w:val="16"/>
        </w:rPr>
        <w:sym w:font="Wingdings" w:char="f076"/>
      </w:r>
      <w:r>
        <w:rPr>
          <w:rFonts w:cs="Times New Roman" w:ascii="Times New Roman" w:hAnsi="Times New Roman"/>
        </w:rPr>
        <w:t>Clarke American</w:t>
      </w:r>
      <w:r>
        <w:rPr>
          <w:rFonts w:cs="Times New Roman" w:ascii="Times New Roman" w:hAnsi="Times New Roman"/>
          <w:sz w:val="18"/>
        </w:rPr>
        <w:t xml:space="preserve"> - </w:t>
      </w:r>
      <w:r>
        <w:rPr>
          <w:rFonts w:cs="Times New Roman" w:ascii="Times New Roman" w:hAnsi="Times New Roman"/>
        </w:rPr>
        <w:t>Directed two marketing research programs, involvement in TQM program, analyzing and reporting customer satisfaction for products, and hiring/ training of a marketing research employee.</w:t>
      </w:r>
    </w:p>
    <w:p>
      <w:pPr>
        <w:pStyle w:val="DefaultParagraphFont1"/>
        <w:jc w:val="both"/>
        <w:rPr>
          <w:rFonts w:ascii="Times New Roman" w:hAnsi="Times New Roman" w:cs="Times New Roman"/>
          <w:lang w:val="en-US"/>
        </w:rPr>
      </w:pPr>
      <w:r>
        <w:rPr>
          <w:rFonts w:cs="Times New Roman" w:ascii="Times New Roman" w:hAnsi="Times New Roman"/>
          <w:lang w:val="en-US"/>
        </w:rPr>
      </w:r>
    </w:p>
    <w:p>
      <w:pPr>
        <w:pStyle w:val="DefaultParagraphFont1"/>
        <w:jc w:val="both"/>
        <w:rPr>
          <w:rFonts w:ascii="Times New Roman" w:hAnsi="Times New Roman" w:cs="Times New Roman"/>
          <w:b/>
          <w:sz w:val="24"/>
        </w:rPr>
      </w:pPr>
      <w:r>
        <w:rPr>
          <w:rFonts w:cs="Times New Roman" w:ascii="Times New Roman" w:hAnsi="Times New Roman"/>
          <w:b/>
          <w:sz w:val="24"/>
        </w:rPr>
        <w:t>HONORS AND ACTIVITIES</w:t>
      </w:r>
    </w:p>
    <w:p>
      <w:pPr>
        <w:pStyle w:val="Heading3"/>
        <w:rPr/>
      </w:pPr>
      <w:r>
        <w:rPr/>
        <w:t xml:space="preserve">Texas A&amp;M University Fundraising </w:t>
      </w:r>
    </w:p>
    <w:p>
      <w:pPr>
        <w:pStyle w:val="Normal"/>
        <w:ind w:firstLine="450" w:end="0"/>
        <w:rPr/>
      </w:pPr>
      <w:r>
        <w:rPr>
          <w:b/>
        </w:rPr>
        <w:t>EES Chairman’s Award of Excellence –</w:t>
      </w:r>
      <w:r>
        <w:rPr/>
        <w:t xml:space="preserve"> </w:t>
      </w:r>
      <w:r>
        <w:rPr>
          <w:sz w:val="20"/>
        </w:rPr>
        <w:t>4</w:t>
      </w:r>
      <w:r>
        <w:rPr>
          <w:sz w:val="20"/>
          <w:vertAlign w:val="superscript"/>
        </w:rPr>
        <w:t>th</w:t>
      </w:r>
      <w:r>
        <w:rPr>
          <w:sz w:val="20"/>
        </w:rPr>
        <w:t xml:space="preserve"> quarter 1997 recipient for leadership of the Pennsylvania Program</w:t>
      </w:r>
    </w:p>
    <w:p>
      <w:pPr>
        <w:pStyle w:val="Normal"/>
        <w:tabs>
          <w:tab w:val="clear" w:pos="720"/>
          <w:tab w:val="left" w:pos="180" w:leader="none"/>
          <w:tab w:val="left" w:pos="450" w:leader="none"/>
          <w:tab w:val="left" w:pos="630" w:leader="none"/>
        </w:tabs>
        <w:rPr>
          <w:b/>
        </w:rPr>
      </w:pPr>
      <w:r>
        <w:rPr>
          <w:sz w:val="24"/>
        </w:rPr>
        <w:tab/>
      </w:r>
      <w:r>
        <w:rPr/>
        <w:tab/>
      </w:r>
      <w:r>
        <w:rPr>
          <w:b/>
        </w:rPr>
        <w:t xml:space="preserve">Co-coordinator for ECT/Texas A&amp;M in-depth study (1996) - </w:t>
      </w:r>
      <w:r>
        <w:rPr>
          <w:lang w:val="en-CA"/>
        </w:rPr>
        <w:t>Regarding retail energy market</w:t>
      </w:r>
      <w:r>
        <w:rPr/>
        <w:t xml:space="preserve"> </w:t>
      </w:r>
    </w:p>
    <w:p>
      <w:pPr>
        <w:pStyle w:val="DefaultParagraphFont1"/>
        <w:tabs>
          <w:tab w:val="clear" w:pos="720"/>
          <w:tab w:val="left" w:pos="450" w:leader="none"/>
        </w:tabs>
        <w:jc w:val="both"/>
        <w:rPr>
          <w:rFonts w:ascii="Times New Roman" w:hAnsi="Times New Roman" w:cs="Times New Roman"/>
          <w:sz w:val="22"/>
          <w:lang w:val="en-US"/>
        </w:rPr>
      </w:pPr>
      <w:r>
        <w:rPr>
          <w:rFonts w:cs="Times New Roman" w:ascii="Times New Roman" w:hAnsi="Times New Roman"/>
          <w:sz w:val="24"/>
        </w:rPr>
        <w:tab/>
      </w:r>
      <w:r>
        <w:rPr>
          <w:rFonts w:cs="Times New Roman" w:ascii="Times New Roman" w:hAnsi="Times New Roman"/>
          <w:b/>
          <w:sz w:val="22"/>
        </w:rPr>
        <w:t>Texas A&amp;M CBA Fellows Program</w:t>
      </w:r>
      <w:r>
        <w:rPr>
          <w:rFonts w:cs="Times New Roman" w:ascii="Times New Roman" w:hAnsi="Times New Roman"/>
          <w:sz w:val="22"/>
        </w:rPr>
        <w:t xml:space="preserve">, </w:t>
      </w:r>
      <w:r>
        <w:rPr>
          <w:rFonts w:cs="Times New Roman" w:ascii="Times New Roman" w:hAnsi="Times New Roman"/>
          <w:i/>
        </w:rPr>
        <w:t>Group XII</w:t>
      </w:r>
      <w:r>
        <w:rPr>
          <w:rFonts w:cs="Times New Roman" w:ascii="Times New Roman" w:hAnsi="Times New Roman"/>
        </w:rPr>
        <w:t>, 1994 - 1995</w:t>
      </w:r>
    </w:p>
    <w:p>
      <w:pPr>
        <w:pStyle w:val="DefaultParagraphFont1"/>
        <w:tabs>
          <w:tab w:val="clear" w:pos="720"/>
          <w:tab w:val="left" w:pos="450" w:leader="none"/>
        </w:tabs>
        <w:jc w:val="both"/>
        <w:rPr/>
      </w:pPr>
      <w:r>
        <w:rPr>
          <w:rFonts w:cs="Times New Roman" w:ascii="Times New Roman" w:hAnsi="Times New Roman"/>
          <w:sz w:val="22"/>
        </w:rPr>
        <w:tab/>
      </w:r>
      <w:r>
        <w:rPr>
          <w:rFonts w:cs="Times New Roman" w:ascii="Times New Roman" w:hAnsi="Times New Roman"/>
          <w:b/>
          <w:sz w:val="22"/>
        </w:rPr>
        <w:t>Universtiy of Texas Business Challenge</w:t>
      </w:r>
      <w:r>
        <w:rPr>
          <w:rFonts w:cs="Times New Roman" w:ascii="Times New Roman" w:hAnsi="Times New Roman"/>
          <w:sz w:val="22"/>
        </w:rPr>
        <w:t xml:space="preserve">, Spring 1995 </w:t>
      </w:r>
    </w:p>
    <w:p>
      <w:pPr>
        <w:pStyle w:val="Normal"/>
        <w:tabs>
          <w:tab w:val="clear" w:pos="720"/>
          <w:tab w:val="left" w:pos="450" w:leader="none"/>
          <w:tab w:val="left" w:pos="900" w:leader="none"/>
        </w:tabs>
        <w:ind w:hanging="990" w:start="630" w:end="0"/>
        <w:rPr/>
      </w:pPr>
      <w:r>
        <w:rPr/>
        <w:tab/>
      </w:r>
      <w:r>
        <w:rPr>
          <w:sz w:val="20"/>
        </w:rPr>
        <w:tab/>
        <w:t>Case competition involving twelve leading Universities such as Berkley, Univ. Michigan, and Univ. Pennsylvania.</w:t>
      </w:r>
    </w:p>
    <w:sectPr>
      <w:type w:val="nextPage"/>
      <w:pgSz w:w="12240" w:h="15840"/>
      <w:pgMar w:left="1166" w:right="1166" w:gutter="0" w:header="0" w:top="576" w:footer="0" w:bottom="33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G Times (W1)">
    <w:altName w:val="Times New Roman"/>
    <w:charset w:val="00" w:characterSet="windows-1252"/>
    <w:family w:val="roman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000000"/>
      <w:sz w:val="22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color w:val="auto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firstLine="180" w:start="0" w:end="0"/>
      <w:outlineLvl w:val="1"/>
    </w:pPr>
    <w:rPr>
      <w:b/>
      <w:color w:val="auto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ind w:firstLine="450" w:start="0" w:end="0"/>
      <w:outlineLvl w:val="2"/>
    </w:pPr>
    <w:rPr>
      <w:b/>
      <w:color w:val="auto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color w:val="auto"/>
      <w:sz w:val="26"/>
    </w:rPr>
  </w:style>
  <w:style w:type="paragraph" w:styleId="BodyText">
    <w:name w:val="Body Text"/>
    <w:basedOn w:val="Normal"/>
    <w:pPr>
      <w:tabs>
        <w:tab w:val="clear" w:pos="720"/>
        <w:tab w:val="left" w:pos="180" w:leader="none"/>
        <w:tab w:val="left" w:pos="630" w:leader="none"/>
        <w:tab w:val="left" w:pos="900" w:leader="none"/>
        <w:tab w:val="left" w:pos="990" w:leader="none"/>
      </w:tabs>
    </w:pPr>
    <w:rPr>
      <w:color w:val="auto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DefaultParagraphFont1">
    <w:name w:val="Default Paragraph Font1"/>
    <w:next w:val="Normal"/>
    <w:qFormat/>
    <w:pPr>
      <w:widowControl/>
      <w:bidi w:val="0"/>
    </w:pPr>
    <w:rPr>
      <w:rFonts w:ascii="CG Times (W1);Times New Roman" w:hAnsi="CG Times (W1);Times New Roman" w:eastAsia="Times New Roman" w:cs="CG Times (W1);Times New Roman"/>
      <w:color w:val="auto"/>
      <w:sz w:val="20"/>
      <w:szCs w:val="20"/>
      <w:lang w:val="en-CA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2000-04-25T17:03:00Z</dcterms:created>
  <dc:creator>sfriese</dc:creator>
  <dc:description/>
  <dc:language>en-CA</dc:language>
  <cp:lastModifiedBy>sfriese</cp:lastModifiedBy>
  <cp:lastPrinted>2000-03-27T10:15:00Z</cp:lastPrinted>
  <dcterms:modified xsi:type="dcterms:W3CDTF">2000-04-25T17:03:00Z</dcterms:modified>
  <cp:revision>2</cp:revision>
  <dc:subject/>
  <dc:title>SHELLY FRIESENHAHN</dc:title>
</cp:coreProperties>
</file>