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60" w:after="720"/>
        <w:jc w:val="center"/>
        <w:rPr>
          <w:b/>
        </w:rPr>
      </w:pPr>
      <w:r>
        <w:rPr>
          <w:b/>
        </w:rPr>
        <w:t>Memorandum</w:t>
      </w:r>
      <w:r>
        <mc:AlternateContent>
          <mc:Choice Requires="wps">
            <w:drawing>
              <wp:anchor behindDoc="0" distT="0" distB="0" distL="118745" distR="118745" simplePos="0" locked="0" layoutInCell="0" allowOverlap="1" relativeHeight="2">
                <wp:simplePos x="0" y="0"/>
                <wp:positionH relativeFrom="page">
                  <wp:align>center</wp:align>
                </wp:positionH>
                <wp:positionV relativeFrom="page">
                  <wp:posOffset>915035</wp:posOffset>
                </wp:positionV>
                <wp:extent cx="1904365" cy="962660"/>
                <wp:effectExtent l="0" t="0" r="0" b="0"/>
                <wp:wrapTopAndBottom/>
                <wp:docPr id="1" name="Frame1"/>
                <a:graphic xmlns:a="http://schemas.openxmlformats.org/drawingml/2006/main">
                  <a:graphicData uri="http://schemas.microsoft.com/office/word/2010/wordprocessingShape">
                    <wps:wsp>
                      <wps:cNvSpPr txBox="1"/>
                      <wps:spPr>
                        <a:xfrm>
                          <a:off x="0" y="0"/>
                          <a:ext cx="1904365" cy="962660"/>
                        </a:xfrm>
                        <a:prstGeom prst="rect"/>
                        <a:solidFill>
                          <a:srgbClr val="FFFFFF">
                            <a:alpha val="0"/>
                          </a:srgbClr>
                        </a:solidFill>
                      </wps:spPr>
                      <wps:txbx>
                        <w:txbxContent>
                          <w:p>
                            <w:pPr>
                              <w:pStyle w:val="Normal"/>
                              <w:widowControl/>
                              <w:spacing w:lineRule="auto" w:line="240"/>
                              <w:jc w:val="start"/>
                              <w:textAlignment w:val="auto"/>
                              <w:rPr>
                                <w:rFonts w:ascii="Times New Roman" w:hAnsi="Times New Roman" w:cs="Times New Roman"/>
                              </w:rPr>
                            </w:pPr>
                            <w:r>
                              <w:rPr/>
                              <w:drawing>
                                <wp:inline distT="0" distB="0" distL="0" distR="0">
                                  <wp:extent cx="1903730" cy="962660"/>
                                  <wp:effectExtent l="0" t="0" r="0" b="0"/>
                                  <wp:docPr id="2" name="G%26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26T" descr="" title=""/>
                                          <pic:cNvPicPr>
                                            <a:picLocks noChangeAspect="1" noChangeArrowheads="1"/>
                                          </pic:cNvPicPr>
                                        </pic:nvPicPr>
                                        <pic:blipFill>
                                          <a:blip r:embed="rId2"/>
                                          <a:srcRect l="-4" t="-7" r="-4" b="-7"/>
                                          <a:stretch>
                                            <a:fillRect/>
                                          </a:stretch>
                                        </pic:blipFill>
                                        <pic:spPr bwMode="auto">
                                          <a:xfrm>
                                            <a:off x="0" y="0"/>
                                            <a:ext cx="1903730" cy="96266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49.95pt;height:75.8pt;mso-wrap-distance-left:9.35pt;mso-wrap-distance-right:9.35pt;mso-wrap-distance-top:0pt;mso-wrap-distance-bottom:0pt;margin-top:72.05pt;mso-position-vertical-relative:page;margin-left:231.05pt;mso-position-horizontal:center;mso-position-horizontal-relative:page">
                <v:fill opacity="0f"/>
                <v:textbox inset="0in,0in,0in,0in">
                  <w:txbxContent>
                    <w:p>
                      <w:pPr>
                        <w:pStyle w:val="Normal"/>
                        <w:widowControl/>
                        <w:spacing w:lineRule="auto" w:line="240"/>
                        <w:jc w:val="start"/>
                        <w:textAlignment w:val="auto"/>
                        <w:rPr>
                          <w:rFonts w:ascii="Times New Roman" w:hAnsi="Times New Roman" w:cs="Times New Roman"/>
                        </w:rPr>
                      </w:pPr>
                      <w:r>
                        <w:rPr/>
                        <w:drawing>
                          <wp:inline distT="0" distB="0" distL="0" distR="0">
                            <wp:extent cx="1903730" cy="962660"/>
                            <wp:effectExtent l="0" t="0" r="0" b="0"/>
                            <wp:docPr id="3" name="G%26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26T" descr="" title=""/>
                                    <pic:cNvPicPr>
                                      <a:picLocks noChangeAspect="1" noChangeArrowheads="1"/>
                                    </pic:cNvPicPr>
                                  </pic:nvPicPr>
                                  <pic:blipFill>
                                    <a:blip r:embed="rId3"/>
                                    <a:srcRect l="-4" t="-7" r="-4" b="-7"/>
                                    <a:stretch>
                                      <a:fillRect/>
                                    </a:stretch>
                                  </pic:blipFill>
                                  <pic:spPr bwMode="auto">
                                    <a:xfrm>
                                      <a:off x="0" y="0"/>
                                      <a:ext cx="1903730" cy="962660"/>
                                    </a:xfrm>
                                    <a:prstGeom prst="rect">
                                      <a:avLst/>
                                    </a:prstGeom>
                                    <a:noFill/>
                                  </pic:spPr>
                                </pic:pic>
                              </a:graphicData>
                            </a:graphic>
                          </wp:inline>
                        </w:drawing>
                      </w:r>
                    </w:p>
                  </w:txbxContent>
                </v:textbox>
                <w10:wrap type="topAndBottom"/>
              </v:rect>
            </w:pict>
          </mc:Fallback>
        </mc:AlternateContent>
      </w:r>
    </w:p>
    <w:p>
      <w:pPr>
        <w:pStyle w:val="Normal"/>
        <w:spacing w:before="120" w:after="360"/>
        <w:jc w:val="center"/>
        <w:rPr>
          <w:b/>
          <w:sz w:val="28"/>
        </w:rPr>
      </w:pPr>
      <w:r>
        <w:rPr>
          <w:b/>
          <w:sz w:val="28"/>
        </w:rPr>
        <w:t>ATTORNEY/CLIENT PRIVILEGED INFORMATION</w:t>
      </w:r>
    </w:p>
    <w:p>
      <w:pPr>
        <w:pStyle w:val="TopLabel"/>
        <w:rPr/>
      </w:pPr>
      <w:r>
        <w:rPr/>
        <w:tab/>
        <w:t>To</w:t>
      </w:r>
      <w:r>
        <w:rPr>
          <w:b w:val="false"/>
        </w:rPr>
        <w:tab/>
      </w:r>
      <w:bookmarkStart w:id="0" w:name="bmTo"/>
      <w:bookmarkEnd w:id="0"/>
      <w:r>
        <w:rPr>
          <w:b w:val="false"/>
        </w:rPr>
        <w:t>Kay Mann, Esq.</w:t>
      </w:r>
    </w:p>
    <w:p>
      <w:pPr>
        <w:pStyle w:val="TopLabel"/>
        <w:spacing w:before="0" w:after="0"/>
        <w:ind w:hanging="1267" w:start="1267" w:end="0"/>
        <w:rPr/>
      </w:pPr>
      <w:bookmarkStart w:id="1" w:name="bmCC"/>
      <w:bookmarkEnd w:id="1"/>
      <w:r>
        <w:rPr/>
        <w:tab/>
        <w:t>From</w:t>
      </w:r>
      <w:r>
        <w:rPr>
          <w:b w:val="false"/>
        </w:rPr>
        <w:tab/>
      </w:r>
      <w:bookmarkStart w:id="2" w:name="bmFrom"/>
      <w:bookmarkEnd w:id="2"/>
      <w:r>
        <w:rPr>
          <w:b w:val="false"/>
          <w:bCs/>
        </w:rPr>
        <w:tab/>
        <w:t>Elliot Scherker, Esq.</w:t>
      </w:r>
    </w:p>
    <w:p>
      <w:pPr>
        <w:pStyle w:val="TopLabel"/>
        <w:spacing w:before="0" w:after="0"/>
        <w:ind w:hanging="1267" w:start="1267" w:end="0"/>
        <w:rPr/>
      </w:pPr>
      <w:r>
        <w:rPr/>
        <w:tab/>
        <w:tab/>
      </w:r>
      <w:r>
        <w:rPr>
          <w:b w:val="false"/>
          <w:bCs/>
        </w:rPr>
        <w:t>Jeffrey Gilbert, Esq.</w:t>
      </w:r>
    </w:p>
    <w:p>
      <w:pPr>
        <w:pStyle w:val="TopLabel"/>
        <w:spacing w:before="0" w:after="0"/>
        <w:ind w:hanging="1267" w:start="1267" w:end="0"/>
        <w:rPr>
          <w:b w:val="false"/>
          <w:bCs/>
        </w:rPr>
      </w:pPr>
      <w:r>
        <w:rPr>
          <w:b w:val="false"/>
          <w:bCs/>
        </w:rPr>
      </w:r>
    </w:p>
    <w:p>
      <w:pPr>
        <w:pStyle w:val="TopLabel"/>
        <w:rPr/>
      </w:pPr>
      <w:r>
        <w:rPr/>
        <w:tab/>
        <w:t>Date</w:t>
      </w:r>
      <w:r>
        <w:rPr>
          <w:b w:val="false"/>
        </w:rPr>
        <w:tab/>
      </w:r>
      <w:bookmarkStart w:id="3" w:name="bmDate"/>
      <w:bookmarkEnd w:id="3"/>
      <w:r>
        <w:rPr>
          <w:b w:val="false"/>
        </w:rPr>
        <w:t>July 20, 2001</w:t>
      </w:r>
    </w:p>
    <w:p>
      <w:pPr>
        <w:pStyle w:val="LastTopLabel"/>
        <w:rPr/>
      </w:pPr>
      <w:r>
        <w:rPr/>
        <w:tab/>
        <w:t>Re</w:t>
      </w:r>
      <w:r>
        <w:rPr>
          <w:b w:val="false"/>
        </w:rPr>
        <w:tab/>
      </w:r>
      <w:bookmarkStart w:id="4" w:name="bmRe"/>
      <w:bookmarkEnd w:id="4"/>
      <w:r>
        <w:rPr>
          <w:b w:val="false"/>
        </w:rPr>
        <w:t>City of Coconut Creek vs. City of Deerfield Beach</w:t>
      </w:r>
    </w:p>
    <w:p>
      <w:pPr>
        <w:pStyle w:val="Normal"/>
        <w:rPr/>
      </w:pPr>
      <w:bookmarkStart w:id="5" w:name="bmBody"/>
      <w:bookmarkEnd w:id="5"/>
      <w:r>
        <w:rPr/>
        <w:tab/>
        <w:t>This memorandum briefly addresses the nature of the proceedings, the parties, and the applicable provisions of Florida law with respect to the Complaint filed by the City of Coconut Creek on July 13, 2001, challenging the Deerfield Beach DRC approval of the Deerfield Beach Energy Center Site Plan.</w:t>
      </w:r>
    </w:p>
    <w:p>
      <w:pPr>
        <w:pStyle w:val="Normal"/>
        <w:jc w:val="center"/>
        <w:rPr>
          <w:b/>
          <w:bCs/>
          <w:u w:val="single"/>
        </w:rPr>
      </w:pPr>
      <w:r>
        <w:rPr>
          <w:b/>
          <w:bCs/>
          <w:u w:val="single"/>
        </w:rPr>
        <w:t>The Parties</w:t>
      </w:r>
    </w:p>
    <w:p>
      <w:pPr>
        <w:pStyle w:val="Normal"/>
        <w:rPr/>
      </w:pPr>
      <w:r>
        <w:rPr/>
        <w:tab/>
        <w:t>Coconut Creek has filed a three-count Complaint in Broward County Circuit Court against the City of Deerfield Beach.  Neither Enron nor Deerfield Beach Energy Center is named as a party defendant.  The Circuit Court is a court of general jurisdiction under Florida law with authority to hear original actions for damages and injunctive relief.  The Circuit Court, as set forth below, also has appellate jurisdiction over quasi-judicial rulings by local administrative tribunals, such as the Deerfield Beach DRC.</w:t>
      </w:r>
    </w:p>
    <w:p>
      <w:pPr>
        <w:pStyle w:val="Normal"/>
        <w:jc w:val="center"/>
        <w:rPr>
          <w:b/>
          <w:bCs/>
          <w:u w:val="single"/>
        </w:rPr>
      </w:pPr>
      <w:r>
        <w:rPr>
          <w:b/>
          <w:bCs/>
          <w:u w:val="single"/>
        </w:rPr>
        <w:t>The Complaint</w:t>
      </w:r>
    </w:p>
    <w:p>
      <w:pPr>
        <w:pStyle w:val="Normal"/>
        <w:rPr/>
      </w:pPr>
      <w:r>
        <w:rPr/>
        <w:tab/>
        <w:t>Count I of the Complaint seeks certiorari review of the DRC approval, Count II seeks injunctive relief against Deerfield Beach, and Count III seeks declaratory relief.  The relief requested in each Count seeks to overturn the DRC’s approval.</w:t>
      </w:r>
    </w:p>
    <w:p>
      <w:pPr>
        <w:pStyle w:val="Normal"/>
        <w:jc w:val="center"/>
        <w:rPr>
          <w:b/>
          <w:bCs/>
          <w:u w:val="single"/>
        </w:rPr>
      </w:pPr>
      <w:r>
        <w:rPr>
          <w:b/>
          <w:bCs/>
          <w:u w:val="single"/>
        </w:rPr>
        <w:t>Motion To Intervene</w:t>
      </w:r>
    </w:p>
    <w:p>
      <w:pPr>
        <w:pStyle w:val="Normal"/>
        <w:rPr/>
      </w:pPr>
      <w:r>
        <w:rPr/>
        <w:tab/>
        <w:t>Intervening into the lawsuit will give us party status and, as discussed, is critical to protect Enron’s interests.  Having party status will provide us with the best opportunity to work with the City Attorney of Deerfield Beach to protect those interests.  Today we met with the City Attorney, who welcomed our seeking intervention.  We plan to contact the City Attorney for Coconut Creek to determine if she will agree to the intervention without the need for filing the motion.  If we do not receive agreement, then we will file the motion early next week, and obtain a hearing time as soon as possible.  We checked today with the Court’s judicial assistant, who informed us that the Judge is in Chambers through the end of August, without any suspension of the Court’s motion calendar through that time.</w:t>
      </w:r>
    </w:p>
    <w:p>
      <w:pPr>
        <w:pStyle w:val="Normal"/>
        <w:rPr/>
      </w:pPr>
      <w:r>
        <w:rPr/>
        <w:tab/>
        <w:t>Under Florida law, intervention in this case should be granted to Enron, the successful applicant before the DRC, because Enron’s development rights are the subject matter of the action.  In the unlikely event that intervention is denied, the denial would be reviewable on appeal.  In our experience, the courts are open to allowing the holders of development rights to participate in defending the approval</w:t>
      </w:r>
    </w:p>
    <w:p>
      <w:pPr>
        <w:pStyle w:val="Normal"/>
        <w:jc w:val="center"/>
        <w:rPr>
          <w:b/>
          <w:bCs/>
          <w:u w:val="single"/>
        </w:rPr>
      </w:pPr>
      <w:r>
        <w:rPr>
          <w:b/>
          <w:bCs/>
          <w:u w:val="single"/>
        </w:rPr>
        <w:t>The Motion to Dismiss</w:t>
      </w:r>
    </w:p>
    <w:p>
      <w:pPr>
        <w:pStyle w:val="Normal"/>
        <w:rPr/>
      </w:pPr>
      <w:r>
        <w:rPr/>
        <w:tab/>
        <w:t>The Complaint appears to be subject to a motion to dismiss, on several grounds.  Based on our productive discussions with the City Attorney, we plan to take the lead in preparing the motion to dismiss, but the strategy we have developed includes having the motion filed by the City Attorney, with us filing a joinder to the motion.  We believe this positions the motion in the best light possible.</w:t>
      </w:r>
    </w:p>
    <w:p>
      <w:pPr>
        <w:pStyle w:val="Normal"/>
        <w:rPr/>
      </w:pPr>
      <w:r>
        <w:rPr/>
        <w:tab/>
        <w:t xml:space="preserve">First, the “certiorari” claim in Count I is improperly pled and presented.  Florida law requires that appellate review of final quasi-judicial administrative action by a municipal tribunal be instituted by a petition for writ of certiorari, which petition is required to set forth the entire legal argument in support of the challenge to the administrative action.  Certiorari may not be brought as an </w:t>
      </w:r>
      <w:r>
        <w:rPr>
          <w:i/>
          <w:iCs/>
        </w:rPr>
        <w:t>original</w:t>
      </w:r>
      <w:r>
        <w:rPr/>
        <w:t xml:space="preserve"> action, which is what Coconut Creek has done.  The petition also must be accompanied by a complete appendix, containing all pertinent papers and the transcript of the quasi-judicial hearing.  The appropriate relief on a motion to dismiss the certiorari count is to dismiss the complaint, transfer the cause to the appellate division of the circuit court, and give the plaintiff a set period of time (usually 10 days) to file a rule-compliant certiorari petition – failing which the dismissal becomes final  The course of proceedings on certiorari  is set forth in the next section.</w:t>
      </w:r>
    </w:p>
    <w:p>
      <w:pPr>
        <w:pStyle w:val="Normal"/>
        <w:rPr/>
      </w:pPr>
      <w:r>
        <w:rPr/>
        <w:tab/>
        <w:t>Counts II and III for injunctive and declaratory relief, as pled, should be subject to dismissal because the only means of challenging a quasi-judicial administrative decision, except on the basis of its inconsistency with the Comprehensive Plan, is a certiorari petition.  Although it has been explained to us that the City of Coconut Creek may have intended to plead a claim of inconsistency with the Broward County Comprehensive Plan, the Complaint does not actually allege such a claim.</w:t>
      </w:r>
    </w:p>
    <w:p>
      <w:pPr>
        <w:pStyle w:val="Normal"/>
        <w:rPr/>
      </w:pPr>
      <w:r>
        <w:rPr/>
        <w:tab/>
        <w:t>Under Section 163.3215, Florida Statutes (2000), an aggrieved party may bring an independent action to challenge a local government’s quasi-judicial land use decision on the ground that the decision is inconsistent with the local government’s comprehensive plan.  While Coconut Creek cites Section 163.3215 in Count II, that Count has not been properly pled as an action under Section 163.3215 because: (i) it asserts that the comprehensive plan designation is incorrect rather than that the decision is inconsistent with the comprehensive plan; (ii) it fails to include allegations that the City has complied with the prerequisites to filing an action under Section 163.3215, which include filing a verified complaint with the City and then waiting 30 days to file the Section 163.3215 claim; and (iii) it includes matters unrelated to the consistency of the administrative decision with the comprehensive plan.  It is possible that the Complaint could be redrafted to allege a facially-valid Section 163.3215 claim, but we will move to dismiss the present Complaint iteration and place the burden on Coconut Creek to explain and/or redraft that count.  A properly pled claim under Section 163.3215 may include a claim for injunctive relief.</w:t>
      </w:r>
    </w:p>
    <w:p>
      <w:pPr>
        <w:pStyle w:val="Normal"/>
        <w:jc w:val="center"/>
        <w:rPr>
          <w:b/>
          <w:bCs/>
          <w:u w:val="single"/>
        </w:rPr>
      </w:pPr>
      <w:r>
        <w:rPr>
          <w:b/>
          <w:bCs/>
          <w:u w:val="single"/>
        </w:rPr>
        <w:t>Certiorari Review</w:t>
      </w:r>
    </w:p>
    <w:p>
      <w:pPr>
        <w:pStyle w:val="Normal"/>
        <w:rPr/>
      </w:pPr>
      <w:r>
        <w:rPr/>
        <w:tab/>
        <w:t xml:space="preserve">Our overall goal in this stage of the litigation is to reshape expeditiously this case into a certiorari review.  In Florida, appellate review of quasi-judicial decisions of local governmental tribunals is conducted through common-law certiorari, rather than an appeal.  In general, however, the burdens, presumptions and procedures are similar to ordinary appellate review.  </w:t>
      </w:r>
    </w:p>
    <w:p>
      <w:pPr>
        <w:pStyle w:val="Normal"/>
        <w:rPr/>
      </w:pPr>
      <w:r>
        <w:rPr/>
        <w:tab/>
        <w:t>On certiorari, as opposed to an original action, the standard of review is very stringent, with the court limited to determining whether (i) the parties were accorded due process of law, (ii) the administrative tribunal applied the correct rule of law, and (iii) the decision of the administrative tribunal is supported by competent substantial evidence.  As to the last inquiry, the only question is whether there is competent substantial evidence to support the administrative tribunal’s decision, and the existence of contrary evidence – even if that evidence fairly may be described as competent and substantial – is irrelevant.  Also, because certiorari review is appellate in nature, the party seeking review must have either preserved the points that are raised in the petition by having objected on those grounds in the proceedings before the administrative tribunal.</w:t>
      </w:r>
    </w:p>
    <w:p>
      <w:pPr>
        <w:pStyle w:val="Normal"/>
        <w:rPr/>
      </w:pPr>
      <w:r>
        <w:rPr/>
        <w:tab/>
        <w:t xml:space="preserve">If we are successful in obtaining an order from the Court directing Coconut Creek to file a proper certiorari petition, and if such a petition were to be filed timely, Florida law requires the Court to make a preliminary determination whether the petition states a cognizable claim for relief and, upon making such a determination, to issue a rule to show cause to the opposing parties, directing that a response be filed.  In practice, such orders issue as a matter of course; if, however, Coconut Creek were to file an insufficient petition, </w:t>
      </w:r>
      <w:r>
        <w:rPr>
          <w:i/>
          <w:iCs/>
        </w:rPr>
        <w:t>e.g.,</w:t>
      </w:r>
      <w:r>
        <w:rPr/>
        <w:t xml:space="preserve"> one that is not accompanied by a complete record of the proceedings, then we should consider moving to dismiss ahead of a determination by the Court whether to issue an order to show cause.</w:t>
      </w:r>
    </w:p>
    <w:p>
      <w:pPr>
        <w:pStyle w:val="Normal"/>
        <w:rPr/>
      </w:pPr>
      <w:r>
        <w:rPr/>
        <w:tab/>
        <w:t>We believe that, under the practice of the Broward County Circuit Court, the matter will remain before Judge Stafford, the judge to whom the Complaint was assigned, even if Coconut Creek files a certiorari petition..  Sitting as a single judge in his appellate capacity, Judge Stafford will hear and ultimately decide the merits of the petition.  We intend to move to expedite the certiorari proceedings and will make every effort to move the case to final disposition as quickly as possible, subject to the judge’s calendar.</w:t>
      </w:r>
    </w:p>
    <w:p>
      <w:pPr>
        <w:pStyle w:val="Normal"/>
        <w:rPr/>
      </w:pPr>
      <w:r>
        <w:rPr/>
        <w:tab/>
        <w:t>Please contact us if any further information is required.</w:t>
      </w:r>
    </w:p>
    <w:p>
      <w:pPr>
        <w:pStyle w:val="Normal"/>
        <w:rPr/>
      </w:pPr>
      <w:r>
        <w:rPr/>
      </w:r>
    </w:p>
    <w:p>
      <w:pPr>
        <w:pStyle w:val="Normal"/>
        <w:rPr>
          <w:rFonts w:eastAsia="CG Times"/>
          <w:sz w:val="16"/>
        </w:rPr>
      </w:pPr>
      <w:r>
        <w:rPr>
          <w:rFonts w:eastAsia="CG Times"/>
          <w:sz w:val="16"/>
        </w:rPr>
        <w:t xml:space="preserve"> </w:t>
      </w:r>
    </w:p>
    <w:p>
      <w:pPr>
        <w:pStyle w:val="Normal"/>
        <w:spacing w:before="720" w:after="0"/>
        <w:rPr>
          <w:sz w:val="16"/>
        </w:rPr>
      </w:pPr>
      <w:bookmarkStart w:id="6" w:name="lpDocsInfo"/>
      <w:r>
        <w:rPr>
          <w:sz w:val="16"/>
        </w:rPr>
        <w:fldChar w:fldCharType="begin"/>
      </w:r>
      <w:r>
        <w:rPr>
          <w:sz w:val="16"/>
        </w:rPr>
        <w:instrText xml:space="preserve"> DOCPROPERTY "gtTagLine"</w:instrText>
      </w:r>
      <w:r>
        <w:rPr>
          <w:sz w:val="16"/>
        </w:rPr>
        <w:fldChar w:fldCharType="separate"/>
      </w:r>
      <w:r>
        <w:rPr>
          <w:sz w:val="16"/>
        </w:rPr>
        <w:t>\\MIA-SRV01\SCHERKERE\1326082v01\SF7M01!.DOC\7/20/01\42292.010500</w:t>
      </w:r>
      <w:r>
        <w:rPr>
          <w:sz w:val="16"/>
        </w:rPr>
        <w:fldChar w:fldCharType="end"/>
      </w:r>
      <w:bookmarkEnd w:id="6"/>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CG Times"/>
    <w:charset w:val="00" w:characterSet="windows-1252"/>
    <w:family w:val="roman"/>
    <w:pitch w:val="variable"/>
  </w:font>
  <w:font w:name="Courier New">
    <w:charset w:val="00" w:characterSet="windows-1252"/>
    <w:family w:val="modern"/>
    <w:pitch w:val="default"/>
  </w:font>
  <w:font w:name="Calisto MT">
    <w:charset w:val="00" w:characterSet="windows-1252"/>
    <w:family w:val="roman"/>
    <w:pitch w:val="variable"/>
  </w:font>
  <w:font w:name="calisto">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gtTLAUPref" w:val="0"/>
    <w:docVar w:name="gtTLDlgPref" w:val="Last page;36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spacing w:lineRule="exact" w:line="480"/>
      <w:jc w:val="both"/>
      <w:textAlignment w:val="baseline"/>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80" w:before="240" w:after="0"/>
      <w:ind w:hanging="720" w:start="720" w:end="0"/>
      <w:outlineLvl w:val="0"/>
    </w:pPr>
    <w:rPr>
      <w:rFonts w:ascii="Times New Roman" w:hAnsi="Times New Roman" w:cs="Times New Roman"/>
      <w:b/>
      <w:sz w:val="28"/>
    </w:rPr>
  </w:style>
  <w:style w:type="paragraph" w:styleId="Heading2">
    <w:name w:val="heading 2"/>
    <w:basedOn w:val="Normal"/>
    <w:next w:val="Normal"/>
    <w:qFormat/>
    <w:pPr>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40" w:before="240" w:after="0"/>
      <w:ind w:hanging="720" w:start="1440" w:end="0"/>
      <w:outlineLvl w:val="1"/>
    </w:pPr>
    <w:rPr>
      <w:rFonts w:ascii="CG Times Bold;CG Times" w:hAnsi="CG Times Bold;CG Times" w:cs="CG Times Bold;CG Times"/>
      <w:b/>
    </w:rPr>
  </w:style>
  <w:style w:type="paragraph" w:styleId="Heading3">
    <w:name w:val="heading 3"/>
    <w:basedOn w:val="Normal"/>
    <w:next w:val="Normal"/>
    <w:qFormat/>
    <w:pPr>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40" w:before="240" w:after="0"/>
      <w:ind w:hanging="720" w:start="2160" w:end="0"/>
      <w:outlineLvl w:val="2"/>
    </w:pPr>
    <w:rPr>
      <w:rFonts w:ascii="CG Times Bold;CG Times" w:hAnsi="CG Times Bold;CG Times" w:cs="CG Times Bold;CG Times"/>
      <w:b/>
    </w:rPr>
  </w:style>
  <w:style w:type="paragraph" w:styleId="Heading4">
    <w:name w:val="heading 4"/>
    <w:basedOn w:val="Normal"/>
    <w:next w:val="Normal"/>
    <w:qFormat/>
    <w:pPr>
      <w:keepNext w:val="true"/>
      <w:numPr>
        <w:ilvl w:val="3"/>
        <w:numId w:val="1"/>
      </w:numPr>
      <w:spacing w:before="240" w:after="60"/>
      <w:ind w:hanging="720" w:start="2880" w:end="0"/>
      <w:outlineLvl w:val="3"/>
    </w:pPr>
    <w:rPr>
      <w:rFonts w:ascii="Arial" w:hAnsi="Arial" w:cs="Arial"/>
      <w:b/>
    </w:rPr>
  </w:style>
  <w:style w:type="paragraph" w:styleId="Heading5">
    <w:name w:val="heading 5"/>
    <w:basedOn w:val="Normal"/>
    <w:next w:val="Normal"/>
    <w:qFormat/>
    <w:pPr>
      <w:numPr>
        <w:ilvl w:val="4"/>
        <w:numId w:val="1"/>
      </w:numPr>
      <w:spacing w:before="240" w:after="60"/>
      <w:ind w:hanging="720" w:start="3600" w:end="0"/>
      <w:outlineLvl w:val="4"/>
    </w:pPr>
    <w:rPr>
      <w:rFonts w:ascii="Arial" w:hAnsi="Arial" w:cs="Arial"/>
      <w:sz w:val="22"/>
    </w:rPr>
  </w:style>
  <w:style w:type="paragraph" w:styleId="Heading6">
    <w:name w:val="heading 6"/>
    <w:basedOn w:val="Normal"/>
    <w:next w:val="Normal"/>
    <w:qFormat/>
    <w:pPr>
      <w:numPr>
        <w:ilvl w:val="5"/>
        <w:numId w:val="1"/>
      </w:numPr>
      <w:spacing w:before="240" w:after="60"/>
      <w:ind w:hanging="720" w:start="4320" w:end="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ind w:hanging="720" w:start="5040" w:end="0"/>
      <w:outlineLvl w:val="6"/>
    </w:pPr>
    <w:rPr>
      <w:rFonts w:ascii="Arial" w:hAnsi="Arial" w:cs="Arial"/>
      <w:sz w:val="20"/>
    </w:rPr>
  </w:style>
  <w:style w:type="paragraph" w:styleId="Heading8">
    <w:name w:val="heading 8"/>
    <w:basedOn w:val="Normal"/>
    <w:next w:val="Normal"/>
    <w:qFormat/>
    <w:pPr>
      <w:numPr>
        <w:ilvl w:val="7"/>
        <w:numId w:val="1"/>
      </w:numPr>
      <w:spacing w:before="240" w:after="60"/>
      <w:ind w:hanging="720" w:start="5760" w:end="0"/>
      <w:outlineLvl w:val="7"/>
    </w:pPr>
    <w:rPr>
      <w:rFonts w:ascii="Arial" w:hAnsi="Arial" w:cs="Arial"/>
      <w:i/>
      <w:sz w:val="20"/>
    </w:rPr>
  </w:style>
  <w:style w:type="paragraph" w:styleId="Heading9">
    <w:name w:val="heading 9"/>
    <w:basedOn w:val="Normal"/>
    <w:next w:val="Normal"/>
    <w:qFormat/>
    <w:pPr>
      <w:numPr>
        <w:ilvl w:val="8"/>
        <w:numId w:val="1"/>
      </w:numPr>
      <w:spacing w:before="240" w:after="60"/>
      <w:ind w:hanging="720" w:start="6480" w:end="0"/>
      <w:outlineLvl w:val="8"/>
    </w:pPr>
    <w:rPr>
      <w:rFonts w:ascii="Arial" w:hAnsi="Arial" w:cs="Arial"/>
      <w:b/>
      <w:i/>
      <w:sz w:val="18"/>
    </w:rPr>
  </w:style>
  <w:style w:type="character" w:styleId="DefaultParagraphFont">
    <w:name w:val="Default Paragraph Font"/>
    <w:qFormat/>
    <w:rPr/>
  </w:style>
  <w:style w:type="character" w:styleId="FootnoteCharacters">
    <w:name w:val="Footnote Characters"/>
    <w:basedOn w:val="DefaultParagraphFont"/>
    <w:qFormat/>
    <w:rPr>
      <w:b/>
      <w:vertAlign w:val="superscript"/>
    </w:rPr>
  </w:style>
  <w:style w:type="paragraph" w:styleId="Heading">
    <w:name w:val="Heading"/>
    <w:basedOn w:val="Normal"/>
    <w:next w:val="BodyText"/>
    <w:qFormat/>
    <w:pPr>
      <w:keepNext w:val="true"/>
      <w:jc w:val="center"/>
    </w:pPr>
    <w:rPr>
      <w:rFonts w:ascii="CG Times Bold;CG Times" w:hAnsi="CG Times Bold;CG Times" w:cs="CG Times Bold;CG Times"/>
      <w:b/>
      <w:smallCaps/>
      <w:kern w:val="2"/>
    </w:rPr>
  </w:style>
  <w:style w:type="paragraph" w:styleId="BodyText">
    <w:name w:val="Body Text"/>
    <w:basedOn w:val="Normal"/>
    <w:pPr>
      <w:spacing w:lineRule="auto" w:line="276" w:before="0" w:after="140"/>
    </w:pPr>
    <w:rPr/>
  </w:style>
  <w:style w:type="paragraph" w:styleId="List">
    <w:name w:val="List"/>
    <w:basedOn w:val="Normal"/>
    <w:pPr>
      <w:numPr>
        <w:ilvl w:val="0"/>
        <w:numId w:val="3"/>
      </w:numPr>
      <w:spacing w:lineRule="auto" w:line="480" w:before="0" w:after="240"/>
      <w:ind w:hanging="720" w:start="720" w:end="0"/>
    </w:pPr>
    <w:rPr>
      <w:rFonts w:ascii="Courier New" w:hAnsi="Courier New" w:cs="Courier New"/>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rief">
    <w:name w:val="Brief"/>
    <w:qFormat/>
    <w:pPr>
      <w:widowControl/>
      <w:tabs>
        <w:tab w:val="left" w:pos="720" w:leader="none"/>
        <w:tab w:val="left" w:pos="1440" w:leader="none"/>
        <w:tab w:val="left" w:pos="2160" w:leader="none"/>
        <w:tab w:val="left" w:pos="2880" w:leader="none"/>
        <w:tab w:val="left" w:pos="5040" w:leader="none"/>
      </w:tabs>
      <w:suppressAutoHyphens w:val="true"/>
      <w:overflowPunct w:val="false"/>
      <w:autoSpaceDE w:val="false"/>
      <w:bidi w:val="0"/>
      <w:spacing w:lineRule="auto" w:line="480"/>
      <w:textAlignment w:val="baseline"/>
    </w:pPr>
    <w:rPr>
      <w:rFonts w:ascii="Calisto MT" w:hAnsi="Calisto MT" w:eastAsia="Times New Roman" w:cs="Calisto MT"/>
      <w:color w:val="auto"/>
      <w:sz w:val="22"/>
      <w:szCs w:val="20"/>
      <w:lang w:val="en-US" w:bidi="ar-SA" w:eastAsia="zh-CN"/>
    </w:rPr>
  </w:style>
  <w:style w:type="paragraph" w:styleId="Caps">
    <w:name w:val="Caps"/>
    <w:basedOn w:val="Normal"/>
    <w:next w:val="Normal"/>
    <w:qFormat/>
    <w:pPr>
      <w:widowControl/>
      <w:tabs>
        <w:tab w:val="left" w:pos="720" w:leader="none"/>
        <w:tab w:val="left" w:pos="1440" w:leader="none"/>
        <w:tab w:val="left" w:pos="2160" w:leader="none"/>
        <w:tab w:val="left" w:pos="2880" w:leader="none"/>
        <w:tab w:val="left" w:pos="5040" w:leader="none"/>
      </w:tabs>
      <w:suppressAutoHyphens w:val="true"/>
      <w:spacing w:lineRule="auto" w:line="240"/>
      <w:jc w:val="center"/>
    </w:pPr>
    <w:rPr>
      <w:caps/>
    </w:rPr>
  </w:style>
  <w:style w:type="paragraph" w:styleId="CenteredHdg">
    <w:name w:val="CenteredHdg."/>
    <w:basedOn w:val="Normal"/>
    <w:next w:val="Normal"/>
    <w:qFormat/>
    <w:pPr>
      <w:keepNext w:val="true"/>
      <w:widowControl/>
      <w:suppressAutoHyphens w:val="true"/>
      <w:ind w:hanging="0" w:start="1440" w:end="1440"/>
      <w:jc w:val="center"/>
    </w:pPr>
    <w:rPr>
      <w:rFonts w:ascii="Times New Roman" w:hAnsi="Times New Roman" w:cs="Times New Roman"/>
      <w:b/>
      <w:caps/>
      <w:sz w:val="28"/>
    </w:rPr>
  </w:style>
  <w:style w:type="paragraph" w:styleId="CenteredHdgSM">
    <w:name w:val="CenteredHdg./SM"/>
    <w:basedOn w:val="Normal"/>
    <w:next w:val="Normal"/>
    <w:qFormat/>
    <w:pPr>
      <w:keepNext w:val="true"/>
      <w:widowControl/>
      <w:spacing w:before="0" w:after="200"/>
      <w:jc w:val="center"/>
    </w:pPr>
    <w:rPr>
      <w:rFonts w:ascii="CG Times Bold;CG Times" w:hAnsi="CG Times Bold;CG Times" w:cs="CG Times Bold;CG Times"/>
      <w:b/>
      <w:smallCaps/>
    </w:rPr>
  </w:style>
  <w:style w:type="paragraph" w:styleId="Double">
    <w:name w:val="Double"/>
    <w:basedOn w:val="Normal"/>
    <w:qFormat/>
    <w:pPr>
      <w:widowControl/>
    </w:pPr>
    <w:rPr>
      <w:rFonts w:ascii="Times New Roman" w:hAnsi="Times New Roman" w:cs="Times New Roman"/>
      <w:sz w:val="28"/>
    </w:rPr>
  </w:style>
  <w:style w:type="paragraph" w:styleId="DoubleIndentD">
    <w:name w:val="DoubleIndent/D"/>
    <w:basedOn w:val="Double"/>
    <w:next w:val="Normal"/>
    <w:qFormat/>
    <w:pPr>
      <w:ind w:hanging="0" w:start="720" w:end="720"/>
    </w:pPr>
    <w:rPr/>
  </w:style>
  <w:style w:type="paragraph" w:styleId="DoubleIndentS">
    <w:name w:val="DoubleIndent/S"/>
    <w:basedOn w:val="Normal"/>
    <w:next w:val="Normal"/>
    <w:qFormat/>
    <w:pPr>
      <w:spacing w:before="0" w:after="220"/>
      <w:ind w:hanging="0" w:start="720" w:end="720"/>
    </w:pPr>
    <w:rPr/>
  </w:style>
  <w:style w:type="paragraph" w:styleId="EnvelopeAddress">
    <w:name w:val="envelope address"/>
    <w:pPr>
      <w:widowControl w:val="false"/>
      <w:overflowPunct w:val="false"/>
      <w:autoSpaceDE w:val="false"/>
      <w:bidi w:val="0"/>
      <w:ind w:hanging="0" w:start="5040" w:end="0"/>
      <w:textAlignment w:val="baseline"/>
    </w:pPr>
    <w:rPr>
      <w:rFonts w:ascii="Calisto MT" w:hAnsi="Calisto MT" w:eastAsia="Times New Roman" w:cs="Calisto MT"/>
      <w:color w:val="auto"/>
      <w:sz w:val="22"/>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8"/>
    </w:rPr>
  </w:style>
  <w:style w:type="paragraph" w:styleId="FootnoteText">
    <w:name w:val="footnote text"/>
    <w:basedOn w:val="Normal"/>
    <w:pPr>
      <w:spacing w:lineRule="exact" w:line="280" w:before="0" w:after="120"/>
      <w:ind w:hanging="720" w:start="720" w:end="0"/>
    </w:pPr>
    <w:rPr>
      <w:rFonts w:ascii="Times New Roman" w:hAnsi="Times New Roman" w:cs="Times New Roman"/>
      <w:sz w:val="28"/>
    </w:rPr>
  </w:style>
  <w:style w:type="paragraph" w:styleId="Hanging1">
    <w:name w:val="Hanging1"/>
    <w:basedOn w:val="Normal"/>
    <w:qFormat/>
    <w:pPr>
      <w:numPr>
        <w:ilvl w:val="0"/>
        <w:numId w:val="2"/>
      </w:numPr>
      <w:tabs>
        <w:tab w:val="left" w:pos="720" w:leader="none"/>
        <w:tab w:val="left" w:pos="1440" w:leader="none"/>
        <w:tab w:val="left" w:pos="2160" w:leader="none"/>
        <w:tab w:val="left" w:pos="5040" w:leader="none"/>
      </w:tabs>
      <w:suppressAutoHyphens w:val="true"/>
      <w:spacing w:lineRule="auto" w:line="480"/>
      <w:ind w:hanging="720" w:start="720" w:end="0"/>
    </w:pPr>
    <w:rPr/>
  </w:style>
  <w:style w:type="paragraph" w:styleId="Header">
    <w:name w:val="header"/>
    <w:basedOn w:val="Normal"/>
    <w:pPr>
      <w:tabs>
        <w:tab w:val="clear" w:pos="720"/>
        <w:tab w:val="center" w:pos="4320" w:leader="none"/>
        <w:tab w:val="right" w:pos="8640" w:leader="none"/>
      </w:tabs>
    </w:pPr>
    <w:rPr>
      <w:rFonts w:ascii="calisto" w:hAnsi="calisto" w:cs="calisto"/>
    </w:rPr>
  </w:style>
  <w:style w:type="paragraph" w:styleId="Indent">
    <w:name w:val="Indent"/>
    <w:basedOn w:val="Normal"/>
    <w:qFormat/>
    <w:pPr>
      <w:tabs>
        <w:tab w:val="left" w:pos="720" w:leader="none"/>
        <w:tab w:val="left" w:pos="1440" w:leader="none"/>
        <w:tab w:val="left" w:pos="2160" w:leader="none"/>
        <w:tab w:val="left" w:pos="5040" w:leader="none"/>
      </w:tabs>
      <w:ind w:hanging="0" w:start="720" w:end="720"/>
    </w:pPr>
    <w:rPr/>
  </w:style>
  <w:style w:type="paragraph" w:styleId="Letter">
    <w:name w:val="Letter"/>
    <w:qFormat/>
    <w:pPr>
      <w:widowControl/>
      <w:tabs>
        <w:tab w:val="left" w:pos="720" w:leader="none"/>
        <w:tab w:val="left" w:pos="1440" w:leader="none"/>
        <w:tab w:val="left" w:pos="2160" w:leader="none"/>
        <w:tab w:val="left" w:pos="5040" w:leader="none"/>
      </w:tabs>
      <w:overflowPunct w:val="false"/>
      <w:autoSpaceDE w:val="false"/>
      <w:bidi w:val="0"/>
      <w:textAlignment w:val="baseline"/>
    </w:pPr>
    <w:rPr>
      <w:rFonts w:ascii="Calisto MT" w:hAnsi="Calisto MT" w:eastAsia="Times New Roman" w:cs="Calisto MT"/>
      <w:color w:val="auto"/>
      <w:sz w:val="24"/>
      <w:szCs w:val="20"/>
      <w:lang w:val="en-US" w:eastAsia="en-CA" w:bidi="ar-SA"/>
    </w:rPr>
  </w:style>
  <w:style w:type="paragraph" w:styleId="ListBullet2">
    <w:name w:val="List Bullet 2"/>
    <w:basedOn w:val="List"/>
    <w:pPr>
      <w:numPr>
        <w:ilvl w:val="0"/>
        <w:numId w:val="4"/>
      </w:numPr>
      <w:ind w:hanging="720" w:start="1440" w:end="0"/>
    </w:pPr>
    <w:rPr/>
  </w:style>
  <w:style w:type="paragraph" w:styleId="ListBullet3">
    <w:name w:val="List Bullet 3"/>
    <w:basedOn w:val="ListBullet2"/>
    <w:pPr>
      <w:numPr>
        <w:ilvl w:val="0"/>
        <w:numId w:val="5"/>
      </w:numPr>
      <w:ind w:hanging="720" w:start="2160" w:end="0"/>
    </w:pPr>
    <w:rPr/>
  </w:style>
  <w:style w:type="paragraph" w:styleId="ListBullet4">
    <w:name w:val="List Bullet 4"/>
    <w:basedOn w:val="ListBullet3"/>
    <w:pPr>
      <w:numPr>
        <w:ilvl w:val="0"/>
        <w:numId w:val="6"/>
      </w:numPr>
      <w:ind w:hanging="720" w:start="2880" w:end="0"/>
    </w:pPr>
    <w:rPr/>
  </w:style>
  <w:style w:type="paragraph" w:styleId="ListContinue4">
    <w:name w:val="List Continue 4"/>
    <w:basedOn w:val="Normal"/>
    <w:qFormat/>
    <w:pPr>
      <w:spacing w:before="0" w:after="120"/>
      <w:ind w:hanging="0" w:start="1440" w:end="0"/>
    </w:pPr>
    <w:rPr/>
  </w:style>
  <w:style w:type="paragraph" w:styleId="Numbered1">
    <w:name w:val="Numbered1"/>
    <w:basedOn w:val="Brief"/>
    <w:qFormat/>
    <w:pPr>
      <w:numPr>
        <w:ilvl w:val="0"/>
        <w:numId w:val="7"/>
      </w:numPr>
      <w:ind w:firstLine="720" w:start="720" w:end="720"/>
    </w:pPr>
    <w:rPr/>
  </w:style>
  <w:style w:type="paragraph" w:styleId="Numbered1D">
    <w:name w:val="Numbered1/D"/>
    <w:basedOn w:val="Normal"/>
    <w:qFormat/>
    <w:pPr>
      <w:numPr>
        <w:ilvl w:val="0"/>
        <w:numId w:val="8"/>
      </w:numPr>
      <w:suppressAutoHyphens w:val="true"/>
      <w:ind w:firstLine="720" w:start="0" w:end="0"/>
    </w:pPr>
    <w:rPr/>
  </w:style>
  <w:style w:type="paragraph" w:styleId="Numbered1S">
    <w:name w:val="Numbered1/S"/>
    <w:qFormat/>
    <w:pPr>
      <w:widowControl/>
      <w:numPr>
        <w:ilvl w:val="0"/>
        <w:numId w:val="9"/>
      </w:numPr>
      <w:tabs>
        <w:tab w:val="left" w:pos="720" w:leader="none"/>
        <w:tab w:val="left" w:pos="1440" w:leader="none"/>
        <w:tab w:val="left" w:pos="2160" w:leader="none"/>
        <w:tab w:val="left" w:pos="2880" w:leader="none"/>
      </w:tabs>
      <w:overflowPunct w:val="false"/>
      <w:autoSpaceDE w:val="false"/>
      <w:bidi w:val="0"/>
      <w:spacing w:before="0" w:after="240"/>
      <w:ind w:firstLine="720" w:start="0" w:end="0"/>
      <w:textAlignment w:val="baseline"/>
    </w:pPr>
    <w:rPr>
      <w:rFonts w:ascii="Calisto MT" w:hAnsi="Calisto MT" w:eastAsia="Times New Roman" w:cs="Calisto MT"/>
      <w:color w:val="auto"/>
      <w:sz w:val="22"/>
      <w:szCs w:val="20"/>
      <w:lang w:val="en-US" w:bidi="ar-SA" w:eastAsia="zh-CN"/>
    </w:rPr>
  </w:style>
  <w:style w:type="paragraph" w:styleId="Numbered2S">
    <w:name w:val="Numbered2/S"/>
    <w:qFormat/>
    <w:pPr>
      <w:widowControl/>
      <w:numPr>
        <w:ilvl w:val="0"/>
        <w:numId w:val="10"/>
      </w:numPr>
      <w:overflowPunct w:val="false"/>
      <w:autoSpaceDE w:val="false"/>
      <w:bidi w:val="0"/>
      <w:ind w:firstLine="720" w:start="0" w:end="0"/>
      <w:textAlignment w:val="baseline"/>
    </w:pPr>
    <w:rPr>
      <w:rFonts w:ascii="Calisto MT" w:hAnsi="Calisto MT" w:eastAsia="Times New Roman" w:cs="Calisto MT"/>
      <w:color w:val="auto"/>
      <w:sz w:val="22"/>
      <w:szCs w:val="20"/>
      <w:lang w:val="en-US" w:bidi="ar-SA" w:eastAsia="zh-CN"/>
    </w:rPr>
  </w:style>
  <w:style w:type="paragraph" w:styleId="NumHanging">
    <w:name w:val="NumHanging"/>
    <w:basedOn w:val="Double"/>
    <w:qFormat/>
    <w:pPr>
      <w:widowControl/>
      <w:numPr>
        <w:ilvl w:val="0"/>
        <w:numId w:val="11"/>
      </w:numPr>
      <w:ind w:hanging="720" w:start="720" w:end="0"/>
    </w:pPr>
    <w:rPr/>
  </w:style>
  <w:style w:type="paragraph" w:styleId="QuoteIndent">
    <w:name w:val="QuoteIndent"/>
    <w:basedOn w:val="Double"/>
    <w:next w:val="Double"/>
    <w:qFormat/>
    <w:pPr>
      <w:widowControl/>
      <w:spacing w:lineRule="auto" w:line="240" w:before="200" w:after="200"/>
      <w:ind w:hanging="0" w:start="720" w:end="720"/>
    </w:pPr>
    <w:rPr/>
  </w:style>
  <w:style w:type="paragraph" w:styleId="Separator">
    <w:name w:val="Separator"/>
    <w:basedOn w:val="Normal"/>
    <w:qFormat/>
    <w:pPr>
      <w:spacing w:lineRule="exact" w:line="200"/>
    </w:pPr>
    <w:rPr/>
  </w:style>
  <w:style w:type="paragraph" w:styleId="SignBlock">
    <w:name w:val="SignBlock"/>
    <w:basedOn w:val="Normal"/>
    <w:qFormat/>
    <w:pPr>
      <w:tabs>
        <w:tab w:val="clear" w:pos="720"/>
        <w:tab w:val="center" w:pos="7200" w:leader="none"/>
      </w:tabs>
    </w:pPr>
    <w:rPr/>
  </w:style>
  <w:style w:type="paragraph" w:styleId="Sincerely">
    <w:name w:val="Sincerely"/>
    <w:basedOn w:val="Letter"/>
    <w:qFormat/>
    <w:pPr>
      <w:tabs>
        <w:tab w:val="clear" w:pos="1440"/>
        <w:tab w:val="clear" w:pos="2160"/>
        <w:tab w:val="left" w:pos="720" w:leader="none"/>
        <w:tab w:val="left" w:pos="5040" w:leader="none"/>
      </w:tabs>
      <w:jc w:val="both"/>
    </w:pPr>
    <w:rPr>
      <w:rFonts w:ascii="CG Times" w:hAnsi="CG Times" w:cs="CG Times"/>
    </w:rPr>
  </w:style>
  <w:style w:type="paragraph" w:styleId="Style11">
    <w:name w:val="Style1"/>
    <w:basedOn w:val="Normal"/>
    <w:qFormat/>
    <w:pPr>
      <w:tabs>
        <w:tab w:val="left" w:pos="720" w:leader="none"/>
        <w:tab w:val="left" w:pos="1440" w:leader="none"/>
        <w:tab w:val="left" w:pos="2160" w:leader="none"/>
        <w:tab w:val="left" w:pos="5040" w:leader="none"/>
      </w:tabs>
      <w:spacing w:lineRule="atLeast" w:line="720"/>
    </w:pPr>
    <w:rPr/>
  </w:style>
  <w:style w:type="paragraph" w:styleId="Style21">
    <w:name w:val="Style2"/>
    <w:basedOn w:val="Normal"/>
    <w:qFormat/>
    <w:pPr>
      <w:tabs>
        <w:tab w:val="clear" w:pos="720"/>
        <w:tab w:val="left" w:pos="4680" w:leader="none"/>
      </w:tabs>
      <w:ind w:hanging="0" w:start="4680" w:end="0"/>
    </w:pPr>
    <w:rPr>
      <w:caps/>
    </w:rPr>
  </w:style>
  <w:style w:type="paragraph" w:styleId="TableofAuthorities">
    <w:name w:val="Table of Authorities"/>
    <w:basedOn w:val="Normal"/>
    <w:next w:val="Normal"/>
    <w:qFormat/>
    <w:pPr>
      <w:tabs>
        <w:tab w:val="clear" w:pos="720"/>
        <w:tab w:val="right" w:pos="9360" w:leader="dot"/>
      </w:tabs>
      <w:spacing w:lineRule="auto" w:line="480"/>
      <w:ind w:hanging="245" w:start="245" w:end="0"/>
    </w:pPr>
    <w:rPr>
      <w:rFonts w:ascii="Courier New" w:hAnsi="Courier New" w:cs="Courier New"/>
      <w:sz w:val="22"/>
    </w:rPr>
  </w:style>
  <w:style w:type="paragraph" w:styleId="TOAHeading">
    <w:name w:val="TOA Heading"/>
    <w:basedOn w:val="Normal"/>
    <w:next w:val="Normal"/>
    <w:qFormat/>
    <w:pPr>
      <w:spacing w:before="240" w:after="120"/>
      <w:jc w:val="center"/>
    </w:pPr>
    <w:rPr>
      <w:b/>
      <w:caps/>
    </w:rPr>
  </w:style>
  <w:style w:type="paragraph" w:styleId="TOC1">
    <w:name w:val="toc 1"/>
    <w:basedOn w:val="Normal"/>
    <w:next w:val="Normal"/>
    <w:pPr>
      <w:tabs>
        <w:tab w:val="clear" w:pos="720"/>
        <w:tab w:val="right" w:pos="9360" w:leader="dot"/>
      </w:tabs>
      <w:suppressAutoHyphens w:val="true"/>
      <w:spacing w:lineRule="auto" w:line="480"/>
      <w:ind w:hanging="0" w:start="0" w:end="720"/>
    </w:pPr>
    <w:rPr>
      <w:rFonts w:ascii="Courier New" w:hAnsi="Courier New" w:cs="Courier New"/>
      <w:spacing w:val="-3"/>
    </w:rPr>
  </w:style>
  <w:style w:type="paragraph" w:styleId="TOC2">
    <w:name w:val="toc 2"/>
    <w:basedOn w:val="Normal"/>
    <w:next w:val="Normal"/>
    <w:pPr>
      <w:tabs>
        <w:tab w:val="clear" w:pos="720"/>
        <w:tab w:val="right" w:pos="9360" w:leader="dot"/>
      </w:tabs>
      <w:suppressAutoHyphens w:val="true"/>
      <w:spacing w:lineRule="auto" w:line="480"/>
      <w:ind w:hanging="0" w:start="720" w:end="720"/>
    </w:pPr>
    <w:rPr>
      <w:rFonts w:ascii="Courier New" w:hAnsi="Courier New" w:cs="Courier New"/>
      <w:spacing w:val="-3"/>
    </w:rPr>
  </w:style>
  <w:style w:type="paragraph" w:styleId="TOC3">
    <w:name w:val="toc 3"/>
    <w:basedOn w:val="Normal"/>
    <w:next w:val="Normal"/>
    <w:pPr>
      <w:tabs>
        <w:tab w:val="clear" w:pos="720"/>
        <w:tab w:val="right" w:pos="9360" w:leader="dot"/>
      </w:tabs>
      <w:suppressAutoHyphens w:val="true"/>
      <w:spacing w:lineRule="auto" w:line="480"/>
      <w:ind w:hanging="0" w:start="1440" w:end="720"/>
    </w:pPr>
    <w:rPr>
      <w:rFonts w:ascii="Courier New" w:hAnsi="Courier New" w:cs="Courier New"/>
      <w:spacing w:val="-3"/>
    </w:rPr>
  </w:style>
  <w:style w:type="paragraph" w:styleId="TOC4">
    <w:name w:val="toc 4"/>
    <w:basedOn w:val="Normal"/>
    <w:next w:val="Normal"/>
    <w:pPr>
      <w:tabs>
        <w:tab w:val="left" w:pos="720" w:leader="none"/>
        <w:tab w:val="left" w:pos="1440" w:leader="none"/>
        <w:tab w:val="left" w:pos="2160" w:leader="none"/>
        <w:tab w:val="left" w:pos="2880" w:leader="none"/>
        <w:tab w:val="right" w:pos="9360" w:leader="dot"/>
      </w:tabs>
      <w:suppressAutoHyphens w:val="true"/>
      <w:spacing w:before="0" w:after="240"/>
      <w:ind w:hanging="720" w:start="2880" w:end="720"/>
    </w:pPr>
    <w:rPr/>
  </w:style>
  <w:style w:type="paragraph" w:styleId="TOC9">
    <w:name w:val="toc 9"/>
    <w:basedOn w:val="Normal"/>
    <w:next w:val="Normal"/>
    <w:pPr>
      <w:tabs>
        <w:tab w:val="left" w:pos="720" w:leader="dot"/>
        <w:tab w:val="right" w:pos="9360" w:leader="dot"/>
      </w:tabs>
      <w:suppressAutoHyphens w:val="true"/>
      <w:spacing w:lineRule="auto" w:line="480"/>
      <w:ind w:hanging="720" w:start="720" w:end="0"/>
    </w:pPr>
    <w:rPr>
      <w:rFonts w:ascii="Courier New" w:hAnsi="Courier New" w:cs="Courier New"/>
      <w:sz w:val="22"/>
    </w:rPr>
  </w:style>
  <w:style w:type="paragraph" w:styleId="BodyTextIndent">
    <w:name w:val="Body Text Indent"/>
    <w:basedOn w:val="Normal"/>
    <w:pPr>
      <w:widowControl/>
      <w:spacing w:lineRule="auto" w:line="240" w:before="0" w:after="240"/>
      <w:ind w:firstLine="720" w:start="0" w:end="0"/>
    </w:pPr>
    <w:rPr>
      <w:rFonts w:ascii="Times New Roman" w:hAnsi="Times New Roman" w:cs="Times New Roman"/>
    </w:rPr>
  </w:style>
  <w:style w:type="paragraph" w:styleId="TopLabel">
    <w:name w:val="Top Label"/>
    <w:basedOn w:val="Normal"/>
    <w:qFormat/>
    <w:pPr>
      <w:widowControl/>
      <w:tabs>
        <w:tab w:val="clear" w:pos="720"/>
        <w:tab w:val="right" w:pos="900" w:leader="none"/>
        <w:tab w:val="left" w:pos="1260" w:leader="none"/>
      </w:tabs>
      <w:spacing w:lineRule="auto" w:line="240" w:before="0" w:after="240"/>
      <w:ind w:hanging="1260" w:start="1260" w:end="0"/>
      <w:jc w:val="start"/>
    </w:pPr>
    <w:rPr>
      <w:rFonts w:ascii="Times New Roman" w:hAnsi="Times New Roman" w:cs="Times New Roman"/>
      <w:b/>
    </w:rPr>
  </w:style>
  <w:style w:type="paragraph" w:styleId="LastTopLabel">
    <w:name w:val="Last Top Label"/>
    <w:basedOn w:val="Normal"/>
    <w:next w:val="BodyTextIndent"/>
    <w:qFormat/>
    <w:pPr>
      <w:widowControl/>
      <w:pBdr>
        <w:bottom w:val="double" w:sz="6" w:space="24" w:color="000000"/>
      </w:pBdr>
      <w:tabs>
        <w:tab w:val="clear" w:pos="720"/>
        <w:tab w:val="right" w:pos="900" w:leader="none"/>
        <w:tab w:val="left" w:pos="1260" w:leader="none"/>
      </w:tabs>
      <w:spacing w:lineRule="auto" w:line="240" w:before="0" w:after="520"/>
      <w:ind w:hanging="1267" w:start="1267" w:end="0"/>
      <w:jc w:val="start"/>
    </w:pPr>
    <w:rPr>
      <w:rFonts w:ascii="Times New Roman" w:hAnsi="Times New Roman" w:cs="Times New Roman"/>
      <w:b/>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2001-07-20T15:32:00Z</dcterms:created>
  <dc:creator>scherkere</dc:creator>
  <dc:description/>
  <dc:language>en-CA</dc:language>
  <cp:lastModifiedBy>scherkere</cp:lastModifiedBy>
  <cp:lastPrinted>2001-07-20T11:35:00Z</cp:lastPrinted>
  <dcterms:modified xsi:type="dcterms:W3CDTF">2001-07-20T15:32:00Z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\\MIA-SRV01\SCHERKERE\1326082v01\SF7M01!.DOC\7/20/01\42292.010500</vt:lpwstr>
  </property>
</Properties>
</file>