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 TRANS / SOUTHERN RTO</w:t>
      </w:r>
    </w:p>
    <w:p>
      <w:pPr>
        <w:pStyle w:val="Normal"/>
        <w:jc w:val="center"/>
        <w:rPr>
          <w:b/>
          <w:bCs/>
        </w:rPr>
      </w:pPr>
      <w:r>
        <w:rPr>
          <w:b/>
          <w:bCs/>
        </w:rPr>
        <w:t>Top Issues &amp; Strategy</w:t>
      </w:r>
    </w:p>
    <w:p>
      <w:pPr>
        <w:pStyle w:val="Normal"/>
        <w:jc w:val="center"/>
        <w:rPr>
          <w:b/>
          <w:bCs/>
        </w:rPr>
      </w:pPr>
      <w:r>
        <w:rPr>
          <w:b/>
          <w:bCs/>
        </w:rPr>
      </w:r>
    </w:p>
    <w:p>
      <w:pPr>
        <w:pStyle w:val="Normal"/>
        <w:jc w:val="center"/>
        <w:rPr>
          <w:b/>
          <w:bCs/>
        </w:rPr>
      </w:pPr>
      <w:r>
        <w:rPr>
          <w:b/>
          <w:bCs/>
        </w:rPr>
      </w:r>
    </w:p>
    <w:p>
      <w:pPr>
        <w:pStyle w:val="Normal"/>
        <w:rPr/>
      </w:pPr>
      <w:r>
        <w:rPr>
          <w:b/>
          <w:bCs/>
        </w:rPr>
        <w:t xml:space="preserve">Preface: </w:t>
      </w:r>
      <w:r>
        <w:rPr/>
        <w:t>Southern made an initial RTO filing with FERC in the form of a declaratory request.  The filing included three different governance structures being considered and a general outline of the other elements being considered for the RTO. FERC rejected the filing and ordered Southern to make a status report in May on its progress in joining the development of one of the neighboring RTOs.   In May Southern reported to FERC that it did not appear likely that they would be joining one of the neighboring RTOs and was pursuing the development of a RTO that included the non-jurisdictional parties in the Southern Subregion of SERC.  Southern has now signed Memorandums of Understanding with Santee Cooper, SMEPA, JEA, AEC, and the City of Tallahassee, along with MEAG, the City of Dalton, and Georgia Transmission Corp., who are parties to the Georgia Integrated Transmission Service Agreement. This includes all the utilities in the SERC Southern Subregion.  The Memorandums of Understanding provide for the development of a RTO as follows:</w:t>
      </w:r>
    </w:p>
    <w:p>
      <w:pPr>
        <w:pStyle w:val="Normal"/>
        <w:numPr>
          <w:ilvl w:val="0"/>
          <w:numId w:val="3"/>
        </w:numPr>
        <w:rPr/>
      </w:pPr>
      <w:r>
        <w:rPr/>
        <w:t>File RTO proposal with FERC by 12/15/01</w:t>
      </w:r>
    </w:p>
    <w:p>
      <w:pPr>
        <w:pStyle w:val="Normal"/>
        <w:numPr>
          <w:ilvl w:val="0"/>
          <w:numId w:val="3"/>
        </w:numPr>
        <w:rPr/>
      </w:pPr>
      <w:r>
        <w:rPr/>
        <w:t>The RTO will encourage participation by non-jurisdictional parties</w:t>
      </w:r>
    </w:p>
    <w:p>
      <w:pPr>
        <w:pStyle w:val="Normal"/>
        <w:numPr>
          <w:ilvl w:val="0"/>
          <w:numId w:val="3"/>
        </w:numPr>
        <w:rPr/>
      </w:pPr>
      <w:r>
        <w:rPr/>
        <w:t>A third-party, not affiliated with any market participant will serve as the RTO</w:t>
      </w:r>
    </w:p>
    <w:p>
      <w:pPr>
        <w:pStyle w:val="Normal"/>
        <w:numPr>
          <w:ilvl w:val="0"/>
          <w:numId w:val="3"/>
        </w:numPr>
        <w:rPr/>
      </w:pPr>
      <w:r>
        <w:rPr/>
        <w:t>Preserve the Integrated Transmission System Agreement (ITSA) in Georgia</w:t>
      </w:r>
    </w:p>
    <w:p>
      <w:pPr>
        <w:pStyle w:val="Normal"/>
        <w:numPr>
          <w:ilvl w:val="0"/>
          <w:numId w:val="3"/>
        </w:numPr>
        <w:rPr/>
      </w:pPr>
      <w:r>
        <w:rPr/>
        <w:t>The Parties “intend to discuss coordination and seams issues with neighboring transmission operators”</w:t>
      </w:r>
    </w:p>
    <w:p>
      <w:pPr>
        <w:pStyle w:val="Normal"/>
        <w:rPr/>
      </w:pPr>
      <w:r>
        <w:rPr/>
        <w:t xml:space="preserve">At this point, Southern is entering a new round of negotiating the elements of the RTO with the above parties and the elements previously outlined by Southern in its initial filing with FERC may change.  The following is based partly on a best guess of the principles the parties will try to have included in the development of the RTO </w:t>
      </w:r>
    </w:p>
    <w:p>
      <w:pPr>
        <w:pStyle w:val="Normal"/>
        <w:rPr>
          <w:b/>
          <w:bCs/>
        </w:rPr>
      </w:pPr>
      <w:r>
        <w:rPr>
          <w:b/>
          <w:bCs/>
        </w:rPr>
      </w:r>
    </w:p>
    <w:p>
      <w:pPr>
        <w:pStyle w:val="Normal"/>
        <w:rPr>
          <w:b/>
          <w:bCs/>
        </w:rPr>
      </w:pPr>
      <w:r>
        <w:rPr>
          <w:b/>
          <w:bCs/>
        </w:rPr>
        <w:t>Top Issues:</w:t>
      </w:r>
    </w:p>
    <w:p>
      <w:pPr>
        <w:pStyle w:val="Normal"/>
        <w:rPr>
          <w:b/>
          <w:bCs/>
        </w:rPr>
      </w:pPr>
      <w:r>
        <w:rPr>
          <w:b/>
          <w:bCs/>
        </w:rPr>
      </w:r>
    </w:p>
    <w:p>
      <w:pPr>
        <w:pStyle w:val="Normal"/>
        <w:numPr>
          <w:ilvl w:val="0"/>
          <w:numId w:val="4"/>
        </w:numPr>
        <w:rPr>
          <w:b/>
          <w:bCs/>
        </w:rPr>
      </w:pPr>
      <w:r>
        <w:rPr>
          <w:b/>
          <w:bCs/>
        </w:rPr>
        <w:t xml:space="preserve">Collaborative Process – </w:t>
      </w:r>
      <w:r>
        <w:rPr/>
        <w:t>In developing its initial filing, Southern did not provided for open collaboration with the stakeholders and have given no indication that there will be open collaboration in the development of the filing for 12/15/01.</w:t>
      </w:r>
    </w:p>
    <w:p>
      <w:pPr>
        <w:pStyle w:val="Normal"/>
        <w:ind w:start="360" w:end="0"/>
        <w:rPr>
          <w:b/>
          <w:bCs/>
        </w:rPr>
      </w:pPr>
      <w:r>
        <w:rPr>
          <w:b/>
          <w:bCs/>
        </w:rPr>
      </w:r>
    </w:p>
    <w:p>
      <w:pPr>
        <w:pStyle w:val="Normal"/>
        <w:numPr>
          <w:ilvl w:val="0"/>
          <w:numId w:val="1"/>
        </w:numPr>
        <w:rPr/>
      </w:pPr>
      <w:r>
        <w:rPr>
          <w:b/>
          <w:bCs/>
        </w:rPr>
        <w:t>Scope of the RTO</w:t>
      </w:r>
      <w:r>
        <w:rPr/>
        <w:t xml:space="preserve"> - The RTO being considered will hinder a viable market developing in the Southeast and leave serious seams issues to be resolved with the neighboring RTOs.</w:t>
      </w:r>
    </w:p>
    <w:p>
      <w:pPr>
        <w:pStyle w:val="Normal"/>
        <w:ind w:start="360" w:end="0"/>
        <w:rPr/>
      </w:pPr>
      <w:r>
        <w:rPr/>
      </w:r>
    </w:p>
    <w:p>
      <w:pPr>
        <w:pStyle w:val="Normal"/>
        <w:numPr>
          <w:ilvl w:val="0"/>
          <w:numId w:val="1"/>
        </w:numPr>
        <w:rPr/>
      </w:pPr>
      <w:r>
        <w:rPr>
          <w:b/>
          <w:bCs/>
        </w:rPr>
        <w:t xml:space="preserve">Governance Structure - </w:t>
      </w:r>
      <w:r>
        <w:rPr/>
        <w:t>Southern’s initial filing with FERC proposed a governance structure that limited the decision making authority of the RTO board, especially regarding issues that could impact the value of the transmission assets (mergers with or acquisitions of other RTOs, etc.).   These limitations may be expanded in areas that impact not only the ability of the RTO to merge or expand, but also the market structure that can be implemented after Day 1.</w:t>
      </w:r>
    </w:p>
    <w:p>
      <w:pPr>
        <w:pStyle w:val="Normal"/>
        <w:rPr>
          <w:b/>
          <w:bCs/>
        </w:rPr>
      </w:pPr>
      <w:r>
        <w:rPr>
          <w:b/>
          <w:bCs/>
        </w:rPr>
      </w:r>
    </w:p>
    <w:p>
      <w:pPr>
        <w:pStyle w:val="Normal"/>
        <w:numPr>
          <w:ilvl w:val="0"/>
          <w:numId w:val="1"/>
        </w:numPr>
        <w:rPr/>
      </w:pPr>
      <w:r>
        <w:rPr>
          <w:b/>
          <w:bCs/>
        </w:rPr>
        <w:t>Non-Jurisdictional Parties -</w:t>
      </w:r>
      <w:r>
        <w:rPr/>
        <w:t xml:space="preserve"> All of the above non-jurisdictional parties need to be included in a RTO to have a viable market in the southeast.  </w:t>
      </w:r>
      <w:r>
        <w:rPr>
          <w:u w:val="single"/>
        </w:rPr>
        <w:t>All</w:t>
      </w:r>
      <w:r>
        <w:rPr/>
        <w:t xml:space="preserve"> the parties to the Georgia Integrated Transmission System Agreement have to be in the same RTO for the RTO to be able to provide reasonable transmission services, and the transmission planning and expansion services expected of RTOs.  The concern is what Southern may agree to, in trying to accommodate the non-jurisdictional utilities, that limits the development of the market structure of the RTO.</w:t>
      </w:r>
    </w:p>
    <w:p>
      <w:pPr>
        <w:pStyle w:val="Normal"/>
        <w:rPr/>
      </w:pPr>
      <w:r>
        <w:rPr/>
      </w:r>
    </w:p>
    <w:p>
      <w:pPr>
        <w:pStyle w:val="Normal"/>
        <w:numPr>
          <w:ilvl w:val="0"/>
          <w:numId w:val="1"/>
        </w:numPr>
        <w:rPr/>
      </w:pPr>
      <w:r>
        <w:rPr>
          <w:b/>
          <w:bCs/>
        </w:rPr>
        <w:t xml:space="preserve">Real-Time Energy Market – </w:t>
      </w:r>
      <w:r>
        <w:rPr/>
        <w:t xml:space="preserve">Southern’s initial filing did not address a real-time energy market, beyond establishing a voluntary bid market to provide for ancillary services and energy imbalances.  Southern’s position has been that the initial development of the RTO should be limited to those activities required to provide transmission service and the market development should occur after the independent RTO is established.  A best guess is that this will remain the approach taken in the development of the SE Trans proposal.  </w:t>
      </w:r>
    </w:p>
    <w:p>
      <w:pPr>
        <w:pStyle w:val="Normal"/>
        <w:rPr/>
      </w:pPr>
      <w:r>
        <w:rPr/>
      </w:r>
    </w:p>
    <w:p>
      <w:pPr>
        <w:pStyle w:val="Normal"/>
        <w:numPr>
          <w:ilvl w:val="0"/>
          <w:numId w:val="1"/>
        </w:numPr>
        <w:rPr/>
      </w:pPr>
      <w:r>
        <w:rPr>
          <w:b/>
          <w:bCs/>
        </w:rPr>
        <w:t>Single Control Area</w:t>
      </w:r>
      <w:r>
        <w:rPr/>
        <w:t xml:space="preserve"> – Southern initially proposed a single control area RTO, but said they would consider multiple control areas if necessary to include additional parties in the RTO. A best guess is that the parties negotiating to establish SE Trans will want to retain a structure close to the existing one for control areas and economic dispatching.  So, there will probably be six control centers and six or seven economic dispatches operating in the RTO.</w:t>
      </w:r>
    </w:p>
    <w:p>
      <w:pPr>
        <w:pStyle w:val="Normal"/>
        <w:rPr/>
      </w:pPr>
      <w:r>
        <w:rPr/>
      </w:r>
    </w:p>
    <w:p>
      <w:pPr>
        <w:pStyle w:val="Normal"/>
        <w:numPr>
          <w:ilvl w:val="0"/>
          <w:numId w:val="1"/>
        </w:numPr>
        <w:rPr>
          <w:b/>
          <w:bCs/>
        </w:rPr>
      </w:pPr>
      <w:r>
        <w:rPr>
          <w:b/>
          <w:bCs/>
        </w:rPr>
        <w:t xml:space="preserve">Balanced Schedules – </w:t>
      </w:r>
      <w:r>
        <w:rPr/>
        <w:t>Southern’s initial filing called for balance schedules 24 hours ahead.   A best guess is that this will be retained in the development of the SE Trans proposal.</w:t>
      </w:r>
    </w:p>
    <w:p>
      <w:pPr>
        <w:pStyle w:val="Normal"/>
        <w:rPr>
          <w:b/>
          <w:bCs/>
        </w:rPr>
      </w:pPr>
      <w:r>
        <w:rPr>
          <w:b/>
          <w:bCs/>
        </w:rPr>
      </w:r>
    </w:p>
    <w:p>
      <w:pPr>
        <w:pStyle w:val="Normal"/>
        <w:numPr>
          <w:ilvl w:val="0"/>
          <w:numId w:val="1"/>
        </w:numPr>
        <w:rPr>
          <w:b/>
          <w:bCs/>
        </w:rPr>
      </w:pPr>
      <w:r>
        <w:rPr>
          <w:b/>
          <w:bCs/>
        </w:rPr>
        <w:t xml:space="preserve">Market / Operating Information – </w:t>
      </w:r>
      <w:r>
        <w:rPr/>
        <w:t xml:space="preserve">Southern’s initial proposal did not address the release of any market or operating information and a best guess is that the parties developing the SE Trans proposal will all be opposed to releasing information that shows the status of their generation fleets. </w:t>
      </w:r>
    </w:p>
    <w:p>
      <w:pPr>
        <w:pStyle w:val="Normal"/>
        <w:rPr>
          <w:b/>
          <w:bCs/>
        </w:rPr>
      </w:pPr>
      <w:r>
        <w:rPr>
          <w:b/>
          <w:bCs/>
        </w:rPr>
      </w:r>
    </w:p>
    <w:p>
      <w:pPr>
        <w:pStyle w:val="Normal"/>
        <w:numPr>
          <w:ilvl w:val="0"/>
          <w:numId w:val="1"/>
        </w:numPr>
        <w:rPr>
          <w:b/>
          <w:bCs/>
        </w:rPr>
      </w:pPr>
      <w:r>
        <w:rPr>
          <w:b/>
          <w:bCs/>
        </w:rPr>
        <w:t>Forward Market for Transmission Rights –</w:t>
      </w:r>
      <w:r>
        <w:rPr/>
        <w:t xml:space="preserve"> Southern’s initial proposal provided for flowgate rights to be issued, on a use it or lose it 24 hours ahead basis.  The flowgate rights could be traded prior to 24 hours ahead or made available by the RTO between 24 hours ahead and real-time. The acquisition of flowgate</w:t>
      </w:r>
      <w:r>
        <w:rPr>
          <w:b/>
          <w:bCs/>
        </w:rPr>
        <w:t xml:space="preserve"> </w:t>
      </w:r>
      <w:r>
        <w:rPr/>
        <w:t xml:space="preserve">rights would be determined based on the rules for acquiring transmissions service under their current OATT.  No auction of flowgate rights was considered and a best guess is that an auction will not be considered in the development of the SE Trans proposal.  </w:t>
      </w:r>
    </w:p>
    <w:p>
      <w:pPr>
        <w:pStyle w:val="Normal"/>
        <w:rPr>
          <w:b/>
          <w:bCs/>
        </w:rPr>
      </w:pPr>
      <w:r>
        <w:rPr>
          <w:b/>
          <w:bCs/>
        </w:rPr>
      </w:r>
    </w:p>
    <w:p>
      <w:pPr>
        <w:pStyle w:val="Normal"/>
        <w:numPr>
          <w:ilvl w:val="0"/>
          <w:numId w:val="1"/>
        </w:numPr>
        <w:rPr>
          <w:b/>
          <w:bCs/>
        </w:rPr>
      </w:pPr>
      <w:r>
        <w:rPr>
          <w:b/>
          <w:bCs/>
        </w:rPr>
        <w:t xml:space="preserve">Single OATT / Transmission Pricing – </w:t>
      </w:r>
      <w:r>
        <w:rPr/>
        <w:t>All users of the transmission system, including bundled retail load would be required to schedule service through the RTO OASIS in the same manner, but bundled retail load would not pay for service under the RTO OATT.  Southern’s position has been that the bundled retail loads should continue to pay for service at rates approved by the local state PSCs.  Southern would file its revenue requirements for its transmission system with FERC and would be paid a rate by the RTO for the use of the system equal to its FERC approved revenue requirements divided by total load.  If Southern’ operating companies provide service under state approved rates lower that the rate Southern received from the RTO there would be a short fall.  Charges to cover the cost of operating the RTO would be allocated to all users, including the bundled retail loads.</w:t>
      </w:r>
    </w:p>
    <w:p>
      <w:pPr>
        <w:pStyle w:val="Normal"/>
        <w:rPr>
          <w:b/>
          <w:bCs/>
        </w:rPr>
      </w:pPr>
      <w:r>
        <w:rPr>
          <w:b/>
          <w:bCs/>
        </w:rPr>
      </w:r>
    </w:p>
    <w:p>
      <w:pPr>
        <w:pStyle w:val="Normal"/>
        <w:ind w:start="360" w:end="0"/>
        <w:rPr>
          <w:b/>
          <w:bCs/>
        </w:rPr>
      </w:pPr>
      <w:r>
        <w:rPr>
          <w:b/>
          <w:bCs/>
        </w:rPr>
      </w:r>
    </w:p>
    <w:p>
      <w:pPr>
        <w:pStyle w:val="Normal"/>
        <w:rPr>
          <w:b/>
          <w:bCs/>
        </w:rPr>
      </w:pPr>
      <w:r>
        <w:rPr>
          <w:b/>
          <w:bCs/>
        </w:rPr>
      </w:r>
    </w:p>
    <w:p>
      <w:pPr>
        <w:pStyle w:val="Normal"/>
        <w:ind w:start="360" w:end="0"/>
        <w:rPr>
          <w:b/>
          <w:bCs/>
        </w:rPr>
      </w:pPr>
      <w:r>
        <w:rPr>
          <w:b/>
          <w:bCs/>
        </w:rPr>
        <w:t xml:space="preserve">  </w:t>
      </w:r>
    </w:p>
    <w:p>
      <w:pPr>
        <w:pStyle w:val="BodyText"/>
        <w:ind w:start="360" w:end="0"/>
        <w:rPr>
          <w:b/>
          <w:bCs/>
          <w:sz w:val="24"/>
          <w:u w:val="single"/>
        </w:rPr>
      </w:pPr>
      <w:r>
        <w:rPr>
          <w:b/>
          <w:bCs/>
          <w:sz w:val="24"/>
          <w:u w:val="single"/>
        </w:rPr>
        <w:t>DAY 1 GAME PLAN (Next 6 Months):</w:t>
      </w:r>
    </w:p>
    <w:p>
      <w:pPr>
        <w:pStyle w:val="BodyText"/>
        <w:ind w:start="360" w:end="0"/>
        <w:rPr>
          <w:b/>
          <w:bCs/>
          <w:sz w:val="24"/>
          <w:u w:val="single"/>
        </w:rPr>
      </w:pPr>
      <w:r>
        <w:rPr>
          <w:b/>
          <w:bCs/>
          <w:sz w:val="24"/>
          <w:u w:val="single"/>
        </w:rPr>
      </w:r>
    </w:p>
    <w:p>
      <w:pPr>
        <w:pStyle w:val="BodyText"/>
        <w:numPr>
          <w:ilvl w:val="0"/>
          <w:numId w:val="2"/>
        </w:numPr>
        <w:rPr>
          <w:sz w:val="24"/>
        </w:rPr>
      </w:pPr>
      <w:r>
        <w:rPr>
          <w:sz w:val="24"/>
        </w:rPr>
        <w:t>Continue to develop a collaborative group that addresses the above issues, and  prepare the group to address the development of an appropriate market structure.</w:t>
      </w:r>
    </w:p>
    <w:p>
      <w:pPr>
        <w:pStyle w:val="BodyText"/>
        <w:ind w:start="360" w:end="0"/>
        <w:rPr>
          <w:sz w:val="24"/>
        </w:rPr>
      </w:pPr>
      <w:r>
        <w:rPr>
          <w:sz w:val="24"/>
        </w:rPr>
      </w:r>
    </w:p>
    <w:p>
      <w:pPr>
        <w:pStyle w:val="BodyText"/>
        <w:numPr>
          <w:ilvl w:val="0"/>
          <w:numId w:val="2"/>
        </w:numPr>
        <w:rPr>
          <w:sz w:val="24"/>
        </w:rPr>
      </w:pPr>
      <w:r>
        <w:rPr>
          <w:sz w:val="24"/>
        </w:rPr>
        <w:t>Continue to build relationships with, and educate, all stakeholder groups in the Southeast.</w:t>
      </w:r>
    </w:p>
    <w:p>
      <w:pPr>
        <w:pStyle w:val="BodyText"/>
        <w:ind w:start="360" w:end="0"/>
        <w:rPr>
          <w:sz w:val="24"/>
        </w:rPr>
      </w:pPr>
      <w:r>
        <w:rPr>
          <w:sz w:val="24"/>
        </w:rPr>
      </w:r>
    </w:p>
    <w:p>
      <w:pPr>
        <w:pStyle w:val="BodyText"/>
        <w:numPr>
          <w:ilvl w:val="0"/>
          <w:numId w:val="2"/>
        </w:numPr>
        <w:rPr>
          <w:sz w:val="24"/>
        </w:rPr>
      </w:pPr>
      <w:r>
        <w:rPr>
          <w:sz w:val="24"/>
        </w:rPr>
        <w:t xml:space="preserve">Continue to hold bilateral discussions with Southern and the non-jurisdictional parties to SE Trans to convince them that open collaboration is necessary and that they can make improvements in the areas addressed above. </w:t>
      </w:r>
    </w:p>
    <w:p>
      <w:pPr>
        <w:pStyle w:val="BodyText"/>
        <w:ind w:start="360" w:end="0"/>
        <w:rPr>
          <w:sz w:val="24"/>
        </w:rPr>
      </w:pPr>
      <w:r>
        <w:rPr>
          <w:sz w:val="24"/>
        </w:rPr>
      </w:r>
    </w:p>
    <w:p>
      <w:pPr>
        <w:pStyle w:val="BodyText"/>
        <w:numPr>
          <w:ilvl w:val="0"/>
          <w:numId w:val="2"/>
        </w:numPr>
        <w:rPr>
          <w:sz w:val="24"/>
        </w:rPr>
      </w:pPr>
      <w:r>
        <w:rPr>
          <w:sz w:val="24"/>
        </w:rPr>
        <w:t>Continue to try to convince FERC that an open collaboration process is needed prior to Day 1 and that FERC’s oversight is needed in discussions concerning the development of a larger southeast RTO.</w:t>
      </w:r>
    </w:p>
    <w:p>
      <w:pPr>
        <w:pStyle w:val="BodyText"/>
        <w:ind w:start="360" w:end="0"/>
        <w:rPr>
          <w:sz w:val="24"/>
        </w:rPr>
      </w:pPr>
      <w:r>
        <w:rPr>
          <w:sz w:val="24"/>
        </w:rPr>
      </w:r>
    </w:p>
    <w:p>
      <w:pPr>
        <w:pStyle w:val="BodyText"/>
        <w:numPr>
          <w:ilvl w:val="0"/>
          <w:numId w:val="2"/>
        </w:numPr>
        <w:rPr>
          <w:sz w:val="24"/>
        </w:rPr>
      </w:pPr>
      <w:r>
        <w:rPr>
          <w:sz w:val="24"/>
        </w:rPr>
        <w:t>Prepare draft FERC filings to address Southern’s RTO filing on 12/15/01, and to address any action taken by FERC associated with creating a larger Southeast RTO.</w:t>
      </w:r>
    </w:p>
    <w:p>
      <w:pPr>
        <w:pStyle w:val="BodyText"/>
        <w:rPr>
          <w:sz w:val="24"/>
        </w:rPr>
      </w:pPr>
      <w:r>
        <w:rPr>
          <w:sz w:val="24"/>
        </w:rPr>
      </w:r>
    </w:p>
    <w:p>
      <w:pPr>
        <w:pStyle w:val="BodyText"/>
        <w:ind w:start="720" w:end="0"/>
        <w:rPr>
          <w:sz w:val="24"/>
        </w:rPr>
      </w:pPr>
      <w:r>
        <w:rPr>
          <w:sz w:val="24"/>
        </w:rPr>
      </w:r>
    </w:p>
    <w:p>
      <w:pPr>
        <w:pStyle w:val="BodyText"/>
        <w:ind w:start="360" w:end="0"/>
        <w:rPr>
          <w:sz w:val="24"/>
        </w:rPr>
      </w:pPr>
      <w:r>
        <w:rPr>
          <w:sz w:val="24"/>
        </w:rPr>
      </w:r>
    </w:p>
    <w:p>
      <w:pPr>
        <w:pStyle w:val="BodyText"/>
        <w:ind w:start="360" w:end="0"/>
        <w:rPr/>
      </w:pPr>
      <w:r>
        <w:rPr>
          <w:b/>
          <w:bCs/>
          <w:sz w:val="24"/>
          <w:u w:val="single"/>
        </w:rPr>
        <w:t>DAY 2 GAME PLAN (Next 18 Months):</w:t>
      </w:r>
      <w:r>
        <w:rPr>
          <w:sz w:val="24"/>
        </w:rPr>
        <w:t xml:space="preserve"> </w:t>
      </w:r>
    </w:p>
    <w:p>
      <w:pPr>
        <w:pStyle w:val="BodyText"/>
        <w:ind w:start="360" w:end="0"/>
        <w:rPr>
          <w:sz w:val="24"/>
        </w:rPr>
      </w:pPr>
      <w:r>
        <w:rPr>
          <w:sz w:val="24"/>
        </w:rPr>
      </w:r>
    </w:p>
    <w:p>
      <w:pPr>
        <w:pStyle w:val="BodyText"/>
        <w:ind w:hanging="360" w:start="360" w:end="0"/>
        <w:rPr/>
      </w:pPr>
      <w:r>
        <w:rPr/>
        <w:t xml:space="preserve">      </w:t>
      </w:r>
      <w:r>
        <w:rPr>
          <w:sz w:val="24"/>
        </w:rPr>
        <w:t>With all the unknowns about what Southern may file with FERC on 12/15/01 and how FERC may react to the lack of progress in developing a southeast RTO or to filings by Southern, it is difficult to address a specific plan for Day 2.  However, we need to be prepared to address our concerns with FERC at any time and we need to have a strong collaborative group that will support our positions.  We also need to work closely with the neighboring RTOs to determine whether they can also be useful in supporting the development of a larger Southeast RTO and other positions we favor</w:t>
      </w:r>
      <w:r>
        <w:rPr/>
        <w:t>.</w:t>
      </w:r>
    </w:p>
    <w:sectPr>
      <w:type w:val="nextPage"/>
      <w:pgSz w:w="12240" w:h="15840"/>
      <w:pgMar w:left="1800" w:right="1800" w:gutter="0" w:header="0" w:top="72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2001-06-29T00:24:00Z</dcterms:created>
  <dc:creator>jconnor2</dc:creator>
  <dc:description/>
  <dc:language>en-CA</dc:language>
  <cp:lastModifiedBy>jconnor2</cp:lastModifiedBy>
  <dcterms:modified xsi:type="dcterms:W3CDTF">2001-06-29T07:52:00Z</dcterms:modified>
  <cp:revision>9</cp:revision>
  <dc:subject/>
  <dc:title>SE TRANS / SOUTHERN RTO</dc:title>
</cp:coreProperties>
</file>