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tLeast" w:line="240"/>
        <w:jc w:val="center"/>
        <w:rPr>
          <w:rFonts w:ascii="Arial" w:hAnsi="Arial" w:cs="Arial"/>
        </w:rPr>
      </w:pPr>
      <w:r>
        <w:rPr>
          <w:rFonts w:cs="Arial" w:ascii="Arial" w:hAnsi="Arial"/>
        </w:rPr>
        <w:t>UNITED STATES OF AMERICA</w:t>
      </w:r>
    </w:p>
    <w:p>
      <w:pPr>
        <w:pStyle w:val="Normal"/>
        <w:suppressAutoHyphens w:val="true"/>
        <w:spacing w:lineRule="atLeast" w:line="240"/>
        <w:jc w:val="center"/>
        <w:rPr>
          <w:rFonts w:ascii="Arial" w:hAnsi="Arial" w:cs="Arial"/>
        </w:rPr>
      </w:pPr>
      <w:r>
        <w:rPr>
          <w:rFonts w:cs="Arial" w:ascii="Arial" w:hAnsi="Arial"/>
        </w:rPr>
        <w:t>BEFORE THE</w:t>
      </w:r>
    </w:p>
    <w:p>
      <w:pPr>
        <w:pStyle w:val="Normal"/>
        <w:suppressAutoHyphens w:val="true"/>
        <w:spacing w:lineRule="atLeast" w:line="240"/>
        <w:jc w:val="center"/>
        <w:rPr>
          <w:rFonts w:ascii="Arial" w:hAnsi="Arial" w:cs="Arial"/>
        </w:rPr>
      </w:pPr>
      <w:r>
        <w:rPr>
          <w:rFonts w:cs="Arial" w:ascii="Arial" w:hAnsi="Arial"/>
        </w:rPr>
        <w:t>FEDERAL ENERGY REGULATORY COMMISSION</w:t>
      </w:r>
    </w:p>
    <w:p>
      <w:pPr>
        <w:pStyle w:val="Normal"/>
        <w:suppressAutoHyphens w:val="true"/>
        <w:spacing w:lineRule="atLeast" w:line="240"/>
        <w:rPr>
          <w:rFonts w:ascii="Arial" w:hAnsi="Arial" w:cs="Arial"/>
        </w:rPr>
      </w:pPr>
      <w:r>
        <w:rPr>
          <w:rFonts w:cs="Arial" w:ascii="Arial" w:hAnsi="Arial"/>
        </w:rPr>
      </w:r>
    </w:p>
    <w:p>
      <w:pPr>
        <w:pStyle w:val="Normal"/>
        <w:suppressAutoHyphens w:val="true"/>
        <w:spacing w:lineRule="atLeast" w:line="240"/>
        <w:rPr>
          <w:rFonts w:ascii="Arial" w:hAnsi="Arial" w:cs="Arial"/>
        </w:rPr>
      </w:pPr>
      <w:r>
        <w:rPr>
          <w:rFonts w:cs="Arial" w:ascii="Arial" w:hAnsi="Arial"/>
        </w:rPr>
        <w:t>Southeast Regional Transmission Organization  )</w:t>
        <w:tab/>
        <w:t>Docket No. RT01-100-000</w:t>
      </w:r>
    </w:p>
    <w:p>
      <w:pPr>
        <w:pStyle w:val="Normal"/>
        <w:suppressAutoHyphens w:val="true"/>
        <w:spacing w:lineRule="atLeast" w:line="240"/>
        <w:rPr>
          <w:rFonts w:ascii="Arial" w:hAnsi="Arial" w:cs="Arial"/>
        </w:rPr>
      </w:pPr>
      <w:r>
        <w:rPr>
          <w:rFonts w:cs="Arial" w:ascii="Arial" w:hAnsi="Arial"/>
        </w:rPr>
      </w:r>
    </w:p>
    <w:p>
      <w:pPr>
        <w:pStyle w:val="BodyText"/>
        <w:rPr>
          <w:rFonts w:cs="Arial"/>
        </w:rPr>
      </w:pPr>
      <w:r>
        <w:rPr>
          <w:rFonts w:cs="Arial"/>
        </w:rPr>
        <w:t xml:space="preserve">THE MEDIATION REPORT FOR THE </w:t>
      </w:r>
    </w:p>
    <w:p>
      <w:pPr>
        <w:pStyle w:val="BodyText"/>
        <w:rPr>
          <w:rFonts w:cs="Arial"/>
        </w:rPr>
      </w:pPr>
      <w:r>
        <w:rPr>
          <w:rFonts w:cs="Arial"/>
        </w:rPr>
        <w:t xml:space="preserve">SOUTHEAST RTO COMMENTS OF </w:t>
      </w:r>
    </w:p>
    <w:p>
      <w:pPr>
        <w:pStyle w:val="BodyText"/>
        <w:rPr>
          <w:rFonts w:cs="Arial"/>
          <w:b w:val="false"/>
          <w:u w:val="single"/>
        </w:rPr>
      </w:pPr>
      <w:r>
        <w:rPr>
          <w:rFonts w:cs="Arial"/>
          <w:u w:val="single"/>
        </w:rPr>
        <w:t xml:space="preserve">THE ELECTRIC POWER SUPPLY ASSOCIATION </w:t>
      </w:r>
    </w:p>
    <w:p>
      <w:pPr>
        <w:pStyle w:val="BodyText2"/>
        <w:rPr>
          <w:rFonts w:cs="Arial"/>
        </w:rPr>
      </w:pPr>
      <w:r>
        <w:rPr>
          <w:rFonts w:cs="Arial"/>
        </w:rPr>
        <w:tab/>
      </w:r>
    </w:p>
    <w:p>
      <w:pPr>
        <w:pStyle w:val="Normal"/>
        <w:widowControl/>
        <w:spacing w:lineRule="auto" w:line="480"/>
        <w:ind w:firstLine="720" w:end="0"/>
        <w:rPr/>
      </w:pPr>
      <w:r>
        <w:rPr>
          <w:rFonts w:cs="Arial" w:ascii="Arial" w:hAnsi="Arial"/>
          <w:szCs w:val="26"/>
        </w:rPr>
        <w:t>In separate orders issued concurrently with the Order Initiating Mediation in this proceeding, the Commission concluded that it is necessary that the jurisdictional transmission owners in: Docket Nos. RT01-34-000 (SPP), RT01-74-000 (GridSouth), RT01-75-000 (Entergy), and RT-77-000 (Southern</w:t>
      </w:r>
      <w:r>
        <w:rPr>
          <w:rStyle w:val="FootnoteCharacters"/>
          <w:rStyle w:val="FootnoteReference"/>
          <w:rFonts w:cs="Arial" w:ascii="Arial" w:hAnsi="Arial"/>
          <w:szCs w:val="26"/>
        </w:rPr>
        <w:footnoteReference w:id="2"/>
      </w:r>
      <w:r>
        <w:rPr>
          <w:rFonts w:cs="Arial" w:ascii="Arial" w:hAnsi="Arial"/>
          <w:szCs w:val="26"/>
        </w:rPr>
        <w:t>) combine to form a single Regional Transmission Organization (RTO) in the Southeast (hereinafter referred to as the Southeast Power Grid or SPG).</w:t>
      </w:r>
    </w:p>
    <w:p>
      <w:pPr>
        <w:pStyle w:val="Normal"/>
        <w:widowControl/>
        <w:spacing w:lineRule="auto" w:line="480"/>
        <w:ind w:firstLine="720" w:end="0"/>
        <w:rPr/>
      </w:pPr>
      <w:r>
        <w:rPr>
          <w:rFonts w:cs="Arial" w:ascii="Arial" w:hAnsi="Arial"/>
          <w:szCs w:val="26"/>
        </w:rPr>
        <w:t>To foster the formation a single Southeastern RTO through mediation among the interested parties, the Commission directed Administrative Law Judge Bobbie J. McCartney to mediate settlement discussions for a period of 45 days.</w:t>
      </w:r>
      <w:r>
        <w:rPr>
          <w:rStyle w:val="FootnoteCharacters"/>
          <w:rStyle w:val="FootnoteReference"/>
          <w:rFonts w:cs="Arial" w:ascii="Arial" w:hAnsi="Arial"/>
          <w:szCs w:val="26"/>
        </w:rPr>
        <w:footnoteReference w:id="3"/>
      </w:r>
      <w:r>
        <w:rPr>
          <w:rFonts w:cs="Arial" w:ascii="Arial" w:hAnsi="Arial"/>
          <w:szCs w:val="26"/>
        </w:rPr>
        <w:t xml:space="preserve"> </w:t>
      </w:r>
    </w:p>
    <w:p>
      <w:pPr>
        <w:pStyle w:val="Normal"/>
        <w:widowControl/>
        <w:spacing w:lineRule="auto" w:line="480"/>
        <w:ind w:firstLine="720" w:end="0"/>
        <w:rPr>
          <w:rFonts w:ascii="Arial" w:hAnsi="Arial" w:cs="Arial"/>
        </w:rPr>
      </w:pPr>
      <w:r>
        <w:rPr>
          <w:rFonts w:cs="Arial" w:ascii="Arial" w:hAnsi="Arial"/>
        </w:rPr>
        <w:t xml:space="preserve">Following the mediation, Judge McCartney issued a Report for the Southeast Power Grid on September 10, 2001 (Mediation Report).  The Electric Power Supply Association (EPSA) hereby submits the following comments on the Mediation Report.  </w:t>
      </w:r>
    </w:p>
    <w:p>
      <w:pPr>
        <w:pStyle w:val="Heading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false"/>
        <w:spacing w:lineRule="auto" w:line="480"/>
        <w:ind w:hanging="0" w:start="0"/>
        <w:rPr>
          <w:szCs w:val="26"/>
          <w:u w:val="single"/>
        </w:rPr>
      </w:pPr>
      <w:r>
        <w:rPr>
          <w:szCs w:val="26"/>
          <w:u w:val="single"/>
        </w:rPr>
        <w:t>The Electric Power Supply Association</w:t>
      </w:r>
    </w:p>
    <w:p>
      <w:pPr>
        <w:pStyle w:val="BodyText2"/>
        <w:ind w:firstLine="720" w:end="0"/>
        <w:rPr/>
      </w:pPr>
      <w:r>
        <w:rPr/>
        <w:t>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w:t>
      </w:r>
      <w:r>
        <w:rPr>
          <w:rStyle w:val="FootnoteCharacters"/>
          <w:rStyle w:val="FootnoteReference"/>
          <w:rFonts w:cs="Arial"/>
        </w:rPr>
        <w:footnoteReference w:id="4"/>
      </w:r>
      <w:r>
        <w:rPr/>
        <w:t xml:space="preserve">  </w:t>
      </w:r>
    </w:p>
    <w:p>
      <w:pPr>
        <w:pStyle w:val="BodyText2"/>
        <w:rPr>
          <w:rFonts w:cs="Arial"/>
          <w:b/>
          <w:bCs/>
          <w:u w:val="single"/>
        </w:rPr>
      </w:pPr>
      <w:r>
        <w:rPr>
          <w:rFonts w:cs="Arial"/>
          <w:b/>
          <w:bCs/>
          <w:u w:val="single"/>
        </w:rPr>
        <w:t>General Comments On The Southeast Mediation Report</w:t>
      </w:r>
    </w:p>
    <w:p>
      <w:pPr>
        <w:pStyle w:val="BodyText2"/>
        <w:ind w:firstLine="720" w:end="0"/>
        <w:rPr>
          <w:rFonts w:cs="Arial"/>
        </w:rPr>
      </w:pPr>
      <w:r>
        <w:rPr/>
        <w:t xml:space="preserve">EPSA members comprised over 90 percent of the generators and marketers in the generator and marketer sectors that participated in the Southeast mediation.   These members have an active interest in developing effective and efficient wholesale competitive markets in the Southeastern U.S.  Moreover, some EPSA members have participated in or monitored the “collaborative stakeholder process” in prior Southeast forums when several separate RTOs were contemplated.  Consequently these companies remain intensely interested in playing a more significant role in the further development of a SPG in accordance with direction the Commission may provide as a result of Judge McCartney’s mediation report. Therefore, EPSA has a direct and substantial interest in the outcome of this proceeding that cannot be adequately represented by any other party. </w:t>
      </w:r>
    </w:p>
    <w:p>
      <w:pPr>
        <w:pStyle w:val="Normal"/>
        <w:suppressAutoHyphens w:val="true"/>
        <w:spacing w:lineRule="auto" w:line="480"/>
        <w:ind w:firstLine="720" w:end="0"/>
        <w:rPr>
          <w:rFonts w:ascii="Arial" w:hAnsi="Arial" w:cs="Arial"/>
        </w:rPr>
      </w:pPr>
      <w:r>
        <w:rPr>
          <w:rFonts w:cs="Arial" w:ascii="Arial" w:hAnsi="Arial"/>
        </w:rPr>
        <w:t>EPSA would like to provide comments on the report by outlining:</w:t>
      </w:r>
    </w:p>
    <w:p>
      <w:pPr>
        <w:pStyle w:val="Normal"/>
        <w:numPr>
          <w:ilvl w:val="0"/>
          <w:numId w:val="4"/>
        </w:numPr>
        <w:suppressAutoHyphens w:val="true"/>
        <w:rPr>
          <w:rFonts w:ascii="Arial" w:hAnsi="Arial" w:cs="Arial"/>
        </w:rPr>
      </w:pPr>
      <w:r>
        <w:rPr>
          <w:rFonts w:cs="Arial" w:ascii="Arial" w:hAnsi="Arial"/>
        </w:rPr>
        <w:t>key market aspects that the Commission will respond</w:t>
      </w:r>
    </w:p>
    <w:p>
      <w:pPr>
        <w:pStyle w:val="Normal"/>
        <w:suppressAutoHyphens w:val="true"/>
        <w:ind w:start="360" w:end="0"/>
        <w:rPr>
          <w:rFonts w:ascii="Arial" w:hAnsi="Arial" w:cs="Arial"/>
        </w:rPr>
      </w:pPr>
      <w:r>
        <w:rPr>
          <w:rFonts w:cs="Arial" w:ascii="Arial" w:hAnsi="Arial"/>
        </w:rPr>
      </w:r>
    </w:p>
    <w:p>
      <w:pPr>
        <w:pStyle w:val="Normal"/>
        <w:numPr>
          <w:ilvl w:val="0"/>
          <w:numId w:val="4"/>
        </w:numPr>
        <w:suppressAutoHyphens w:val="true"/>
        <w:rPr>
          <w:rFonts w:ascii="Arial" w:hAnsi="Arial" w:cs="Arial"/>
        </w:rPr>
      </w:pPr>
      <w:r>
        <w:rPr>
          <w:rFonts w:cs="Arial" w:ascii="Arial" w:hAnsi="Arial"/>
        </w:rPr>
        <w:t>suggestions regarding FERC involvement</w:t>
      </w:r>
    </w:p>
    <w:p>
      <w:pPr>
        <w:pStyle w:val="Normal"/>
        <w:suppressAutoHyphens w:val="true"/>
        <w:ind w:start="360" w:end="0"/>
        <w:rPr>
          <w:rFonts w:ascii="Arial" w:hAnsi="Arial" w:cs="Arial"/>
        </w:rPr>
      </w:pPr>
      <w:r>
        <w:rPr>
          <w:rFonts w:cs="Arial" w:ascii="Arial" w:hAnsi="Arial"/>
        </w:rPr>
      </w:r>
    </w:p>
    <w:p>
      <w:pPr>
        <w:pStyle w:val="Normal"/>
        <w:numPr>
          <w:ilvl w:val="0"/>
          <w:numId w:val="4"/>
        </w:numPr>
        <w:suppressAutoHyphens w:val="true"/>
        <w:rPr>
          <w:rFonts w:ascii="Arial" w:hAnsi="Arial" w:cs="Arial"/>
        </w:rPr>
      </w:pPr>
      <w:r>
        <w:rPr>
          <w:rFonts w:cs="Arial" w:ascii="Arial" w:hAnsi="Arial"/>
        </w:rPr>
        <w:t>Proposed milestones and deadlines</w:t>
      </w:r>
    </w:p>
    <w:p>
      <w:pPr>
        <w:pStyle w:val="Normal"/>
        <w:suppressAutoHyphens w:val="true"/>
        <w:ind w:start="360" w:end="0"/>
        <w:rPr>
          <w:rFonts w:ascii="Arial" w:hAnsi="Arial" w:cs="Arial"/>
        </w:rPr>
      </w:pPr>
      <w:r>
        <w:rPr>
          <w:rFonts w:cs="Arial" w:ascii="Arial" w:hAnsi="Arial"/>
        </w:rPr>
      </w:r>
    </w:p>
    <w:p>
      <w:pPr>
        <w:pStyle w:val="Heading2"/>
        <w:ind w:start="0" w:end="0"/>
        <w:rPr/>
      </w:pPr>
      <w:r>
        <w:rPr/>
        <w:t>Future Commission Participation</w:t>
      </w:r>
    </w:p>
    <w:p>
      <w:pPr>
        <w:pStyle w:val="Normal"/>
        <w:suppressAutoHyphens w:val="true"/>
        <w:spacing w:lineRule="auto" w:line="480"/>
        <w:ind w:firstLine="360" w:end="0"/>
        <w:rPr>
          <w:rFonts w:ascii="Arial" w:hAnsi="Arial" w:cs="Arial"/>
        </w:rPr>
      </w:pPr>
      <w:r>
        <w:rPr>
          <w:rFonts w:cs="Arial" w:ascii="Arial" w:hAnsi="Arial"/>
        </w:rPr>
        <w:t xml:space="preserve">EPSA does not concur with the Mediation Report’s recommendation that the parties continue the collaborative effort without the Commission’s continued involvement.  EPSA is concerned that without the Commission’s continued involvement and without the establishment of an implementation timeline for the development of the SPG, the parties will not be able to further the substantial progress made with the Collaborative Governance Model (CGM) during mediation.  EPSA is further concerned that, in the absence of the Commission’s continued involvement, the SeTrans proponents may view their long-term survival as a potential reason to impede the ongoing collaborative process.  The public interest will not be served by further delaying the development of the infrastructure necessary for an effective SPG.  </w:t>
      </w:r>
    </w:p>
    <w:p>
      <w:pPr>
        <w:pStyle w:val="Normal"/>
        <w:spacing w:lineRule="auto" w:line="480"/>
        <w:ind w:firstLine="720" w:end="0"/>
        <w:rPr>
          <w:rFonts w:ascii="Arial" w:hAnsi="Arial" w:cs="Arial"/>
        </w:rPr>
      </w:pPr>
      <w:r>
        <w:rPr>
          <w:rFonts w:cs="Arial" w:ascii="Arial" w:hAnsi="Arial"/>
        </w:rPr>
        <w:t xml:space="preserve">EPSA concurs with Judge McCartney’s assertion that CGM represents the preferable model to pursue for SPG completion.  The CGM was substantially improved during the mediation process, particularly in the areas of independence and congestion management, and provides a sound basis on which to continue discussions on the SPG development. </w:t>
      </w:r>
    </w:p>
    <w:p>
      <w:pPr>
        <w:pStyle w:val="Normal"/>
        <w:spacing w:lineRule="auto" w:line="480"/>
        <w:rPr>
          <w:rFonts w:ascii="Arial" w:hAnsi="Arial" w:cs="Arial"/>
        </w:rPr>
      </w:pPr>
      <w:r>
        <w:rPr>
          <w:rFonts w:cs="Arial" w:ascii="Arial" w:hAnsi="Arial"/>
          <w:b/>
          <w:u w:val="single"/>
        </w:rPr>
        <w:t>Independence/Governance:</w:t>
      </w:r>
    </w:p>
    <w:p>
      <w:pPr>
        <w:pStyle w:val="Normal"/>
        <w:spacing w:lineRule="auto" w:line="480"/>
        <w:ind w:firstLine="720" w:end="0"/>
        <w:rPr>
          <w:rFonts w:ascii="Arial" w:hAnsi="Arial" w:cs="Arial"/>
        </w:rPr>
      </w:pPr>
      <w:r>
        <w:rPr>
          <w:rFonts w:cs="Arial" w:ascii="Arial" w:hAnsi="Arial"/>
        </w:rPr>
        <w:t>EPSA supports the CGM Model because it meets the Commission’s independence/governance requirements of Order No. 2000.  For example, under the CGM Model the SAC is the entity that selects the Independent Market Administrator (IMA).  EPSA believes that this selection process best adheres to the ideal of independent selection without transmission owner (TO) involvement.  While EPSA prefers the CGM model’s use of the SAC compared to the SeTrans model, EPSA does have concerns about the makeup of the SAC.  EPSA strongly believes that all stakeholder advisory committees should reflect fair representation between stakeholder groups.  Therefore, the composition of the CGM Model’s Board Selection Committee and SAC should be modified to ensure equal representation.</w:t>
      </w:r>
    </w:p>
    <w:p>
      <w:pPr>
        <w:pStyle w:val="Normal"/>
        <w:spacing w:lineRule="auto" w:line="480"/>
        <w:ind w:firstLine="720" w:end="0"/>
        <w:rPr>
          <w:rFonts w:ascii="Arial" w:hAnsi="Arial" w:cs="Arial"/>
        </w:rPr>
      </w:pPr>
      <w:r>
        <w:rPr>
          <w:rFonts w:cs="Arial" w:ascii="Arial" w:hAnsi="Arial"/>
        </w:rPr>
        <w:t>EPSA is also concerned about the specific delineation of functions in the CGM Model between the Transco, the IMA and independent transmission companies (ITCs).  The CGM Model does not currently contain adequate details with regard to this delineation of functions.  Additionally, it is not clear under the CGM how permanent the IMA will be going forward.  EPSA suggests that the permanence or lack of it is a significant detail that must be decided.  These issues must still be addressed by the Commission or the collaborative stakeholder process.</w:t>
      </w:r>
    </w:p>
    <w:p>
      <w:pPr>
        <w:pStyle w:val="Normal"/>
        <w:spacing w:lineRule="auto" w:line="480"/>
        <w:rPr>
          <w:rFonts w:ascii="Arial" w:hAnsi="Arial" w:cs="Arial"/>
          <w:b/>
          <w:u w:val="single"/>
        </w:rPr>
      </w:pPr>
      <w:r>
        <w:rPr>
          <w:rFonts w:cs="Arial" w:ascii="Arial" w:hAnsi="Arial"/>
          <w:b/>
          <w:u w:val="single"/>
        </w:rPr>
        <w:t>Operational Authority:</w:t>
      </w:r>
    </w:p>
    <w:p>
      <w:pPr>
        <w:pStyle w:val="Normal"/>
        <w:spacing w:lineRule="auto" w:line="480"/>
        <w:ind w:firstLine="720" w:end="0"/>
        <w:rPr>
          <w:rFonts w:ascii="Arial" w:hAnsi="Arial" w:cs="Arial"/>
        </w:rPr>
      </w:pPr>
      <w:r>
        <w:rPr>
          <w:rFonts w:cs="Arial" w:ascii="Arial" w:hAnsi="Arial"/>
        </w:rPr>
        <w:t xml:space="preserve">In the CGM Model, the control area operators will continue to physically control the system, but they will do so pursuant to operating procedures approved by the IMA and under the direction of the IMA.  While the CGM RTO Operating Protocol Summary generally provides many of the details of this separation, the Protocol Summary is just a starting point and further details remain to be defined during the collaborative process.  </w:t>
      </w:r>
    </w:p>
    <w:p>
      <w:pPr>
        <w:pStyle w:val="BodyTextIndent2"/>
        <w:rPr/>
      </w:pPr>
      <w:r>
        <w:rPr/>
        <w:t>EPSA strongly believes that there should be no balanced schedule requirements or financial penalties for imbalances.  There is no evidence that such requirements improve the reliability of the transmission grid.  Maintenance of a balanced schedule requirement would frustrate market development and lead to higher energy balancing and ancillary services costs because:</w:t>
      </w:r>
    </w:p>
    <w:p>
      <w:pPr>
        <w:pStyle w:val="Normal"/>
        <w:numPr>
          <w:ilvl w:val="0"/>
          <w:numId w:val="3"/>
        </w:numPr>
        <w:rPr>
          <w:rFonts w:ascii="Arial" w:hAnsi="Arial" w:cs="Arial"/>
        </w:rPr>
      </w:pPr>
      <w:r>
        <w:rPr>
          <w:rFonts w:cs="Arial" w:ascii="Arial" w:hAnsi="Arial"/>
        </w:rPr>
        <w:t>current transmission reservation advantages enjoyed by load serving entities could be maintained and the incumbent utilities’ network resources could preserve their competitive advantages given that not all generation resources would have equal access to the transmission grid;</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 xml:space="preserve">no meaningful real-time balancing market would develop to efficiently clear the market or to send appropriate economic signals; and </w:t>
      </w:r>
    </w:p>
    <w:p>
      <w:pPr>
        <w:pStyle w:val="Normal"/>
        <w:rPr>
          <w:rFonts w:ascii="Arial" w:hAnsi="Arial" w:eastAsia="Arial" w:cs="Arial"/>
        </w:rPr>
      </w:pPr>
      <w:r>
        <w:rPr>
          <w:rFonts w:eastAsia="Arial" w:cs="Arial" w:ascii="Arial" w:hAnsi="Arial"/>
        </w:rPr>
        <w:t xml:space="preserve">  </w:t>
      </w:r>
    </w:p>
    <w:p>
      <w:pPr>
        <w:pStyle w:val="Heading3"/>
        <w:spacing w:lineRule="auto" w:line="480"/>
        <w:ind w:hanging="0" w:start="0"/>
        <w:rPr>
          <w:rFonts w:ascii="Arial" w:hAnsi="Arial" w:cs="Arial"/>
        </w:rPr>
      </w:pPr>
      <w:r>
        <w:rPr>
          <w:rFonts w:cs="Arial" w:ascii="Arial" w:hAnsi="Arial"/>
        </w:rPr>
        <w:t>Tariff Administration and Design</w:t>
      </w:r>
    </w:p>
    <w:p>
      <w:pPr>
        <w:pStyle w:val="Normal"/>
        <w:spacing w:lineRule="auto" w:line="480"/>
        <w:ind w:firstLine="720" w:end="0"/>
        <w:rPr>
          <w:rFonts w:ascii="Arial" w:hAnsi="Arial" w:cs="Arial"/>
        </w:rPr>
      </w:pPr>
      <w:r>
        <w:rPr>
          <w:rFonts w:cs="Arial" w:ascii="Arial" w:hAnsi="Arial"/>
        </w:rPr>
        <w:t xml:space="preserve">EPSA believes that a viable power market in the Southeast can best be accomplished if all contracts are subject to the same rates, terms and conditions specified in the SPG Open Access Transmission Tariff (OATT).  The CGM Model comes significantly closer to reaching this goal than the SeTrans Model.  In particular, the CGM Model places all load, including service on behalf of retail and bundled existing agreements, under the OATT.  Having all load subject to the same terms and conditions and subject to the same pricing provisions ensures that all parties are treated in a comparable fashion and avoids the perception that some customers will be treated differently.  In addition, the CGM Model would eliminate the need for scheduled interchange between sub-areas of the RTO.    </w:t>
      </w:r>
    </w:p>
    <w:p>
      <w:pPr>
        <w:pStyle w:val="Normal"/>
        <w:spacing w:lineRule="auto" w:line="480"/>
        <w:ind w:firstLine="720" w:end="0"/>
        <w:rPr>
          <w:rFonts w:ascii="Arial" w:hAnsi="Arial" w:cs="Arial"/>
        </w:rPr>
      </w:pPr>
      <w:r>
        <w:rPr>
          <w:rFonts w:cs="Arial" w:ascii="Arial" w:hAnsi="Arial"/>
        </w:rPr>
        <w:t>The CGM Model would settle all schedules and bilateral transactions based on the least-cost, security-constrained RTO-wide economic dispatch.  Only this approach achieves the increased market scope and open access to the market, which the Commission stressed in Order No. 2000</w:t>
      </w:r>
    </w:p>
    <w:p>
      <w:pPr>
        <w:pStyle w:val="Normal"/>
        <w:spacing w:lineRule="auto" w:line="480"/>
        <w:rPr/>
      </w:pPr>
      <w:r>
        <w:rPr>
          <w:rFonts w:cs="Arial" w:ascii="Arial" w:hAnsi="Arial"/>
          <w:b/>
          <w:u w:val="single"/>
        </w:rPr>
        <w:t>Congestion Management</w:t>
      </w:r>
      <w:r>
        <w:rPr>
          <w:rFonts w:cs="Arial" w:ascii="Arial" w:hAnsi="Arial"/>
        </w:rPr>
        <w:t>:</w:t>
      </w:r>
    </w:p>
    <w:p>
      <w:pPr>
        <w:pStyle w:val="Normal"/>
        <w:spacing w:lineRule="auto" w:line="480"/>
        <w:ind w:firstLine="720" w:end="0"/>
        <w:rPr>
          <w:rFonts w:ascii="Arial" w:hAnsi="Arial" w:cs="Arial"/>
        </w:rPr>
      </w:pPr>
      <w:r>
        <w:rPr>
          <w:rFonts w:cs="Arial" w:ascii="Arial" w:hAnsi="Arial"/>
        </w:rPr>
        <w:t xml:space="preserve">EPSA believes that the CGM’s proposed locational marginal pricing/financial congestion hedge (“LMP/FCH”) congestion management model is far superior to the SeTrans physical rights model because the LMP/FCH model allows for economic efficiency, liquidity, flexibility and certainty of pricing and delivery.  The CGM’s financial congestion management model also permits congestion “buy-through.” </w:t>
      </w:r>
    </w:p>
    <w:p>
      <w:pPr>
        <w:pStyle w:val="Normal"/>
        <w:spacing w:lineRule="auto" w:line="480"/>
        <w:ind w:firstLine="720" w:end="0"/>
        <w:rPr>
          <w:rFonts w:ascii="Arial" w:hAnsi="Arial" w:cs="Arial"/>
        </w:rPr>
      </w:pPr>
      <w:r>
        <w:rPr>
          <w:rFonts w:cs="Arial" w:ascii="Arial" w:hAnsi="Arial"/>
        </w:rPr>
        <w:t xml:space="preserve">EPSA believes that a robust spot market will emerge if there are no day ahead balanced schedule requirements and associated penalties.   The CGM proposal (without the balanced scheduled resource requirements) using the financial congestion management model will provide market transparency with visible real-time pricing upon which to base an active market in providing hedging tools with a wide variety of energy products and services. </w:t>
      </w:r>
    </w:p>
    <w:p>
      <w:pPr>
        <w:pStyle w:val="Normal"/>
        <w:spacing w:lineRule="auto" w:line="480"/>
        <w:ind w:firstLine="360" w:end="0"/>
        <w:rPr>
          <w:rFonts w:ascii="Arial" w:hAnsi="Arial" w:cs="Arial"/>
        </w:rPr>
      </w:pPr>
      <w:r>
        <w:rPr>
          <w:rFonts w:cs="Arial" w:ascii="Arial" w:hAnsi="Arial"/>
        </w:rPr>
        <w:t>Additional positive aspects of the financial rights model are:</w:t>
      </w:r>
    </w:p>
    <w:p>
      <w:pPr>
        <w:pStyle w:val="Normal"/>
        <w:numPr>
          <w:ilvl w:val="0"/>
          <w:numId w:val="2"/>
        </w:numPr>
        <w:rPr>
          <w:rFonts w:ascii="Arial" w:hAnsi="Arial" w:cs="Arial"/>
        </w:rPr>
      </w:pPr>
      <w:r>
        <w:rPr>
          <w:rFonts w:cs="Arial" w:ascii="Arial" w:hAnsi="Arial"/>
        </w:rPr>
        <w:t xml:space="preserve">Certain aspects of the financial rights model have been demonstrated in other markets to be effective.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 xml:space="preserve">The LMP/FCH model would result in less parallel path flow problems and resulting TLRs, when compared to the SeTrans physical rights model. </w:t>
      </w:r>
    </w:p>
    <w:p>
      <w:pPr>
        <w:pStyle w:val="Normal"/>
        <w:rPr>
          <w:rFonts w:ascii="Arial" w:hAnsi="Arial" w:eastAsia="Arial" w:cs="Arial"/>
        </w:rPr>
      </w:pPr>
      <w:r>
        <w:rPr>
          <w:rFonts w:eastAsia="Arial" w:cs="Arial" w:ascii="Arial" w:hAnsi="Arial"/>
        </w:rPr>
        <w:t xml:space="preserve"> </w:t>
      </w:r>
    </w:p>
    <w:p>
      <w:pPr>
        <w:pStyle w:val="Normal"/>
        <w:spacing w:lineRule="auto" w:line="480"/>
        <w:rPr>
          <w:rFonts w:ascii="Arial" w:hAnsi="Arial" w:cs="Arial"/>
        </w:rPr>
      </w:pPr>
      <w:r>
        <w:rPr>
          <w:rFonts w:cs="Arial" w:ascii="Arial" w:hAnsi="Arial"/>
          <w:b/>
          <w:u w:val="single"/>
        </w:rPr>
        <w:t>Market Monitoring</w:t>
      </w:r>
    </w:p>
    <w:p>
      <w:pPr>
        <w:pStyle w:val="Normal"/>
        <w:spacing w:lineRule="auto" w:line="480"/>
        <w:ind w:firstLine="720" w:end="0"/>
        <w:rPr>
          <w:rFonts w:ascii="Arial" w:hAnsi="Arial" w:cs="Arial"/>
        </w:rPr>
      </w:pPr>
      <w:r>
        <w:rPr>
          <w:rFonts w:cs="Arial" w:ascii="Arial" w:hAnsi="Arial"/>
        </w:rPr>
        <w:t xml:space="preserve">The CGM model successfully builds off of the GridFlorida market monitoring proposal and reflects additional changes that were negotiated during the mediation process that ensure the Market Monitor’s independence from the RTO.  The CGM Market Monitor would retain authority over its budget, subject only to Commission review.  In addition, the CGM Model’s Market Monitor would have the authority to review tariff changes proposed by the Transco.  While the Transco under the CGM may file a proposed tariff change with the FERC even if the Market Monitor objects to the change, the change would not go into effect until approved by the Commission FERC.  </w:t>
      </w:r>
    </w:p>
    <w:p>
      <w:pPr>
        <w:pStyle w:val="Normal"/>
        <w:spacing w:lineRule="auto" w:line="480"/>
        <w:rPr>
          <w:rFonts w:ascii="Arial" w:hAnsi="Arial" w:cs="Arial"/>
          <w:u w:val="single"/>
        </w:rPr>
      </w:pPr>
      <w:r>
        <w:rPr>
          <w:rFonts w:cs="Arial" w:ascii="Arial" w:hAnsi="Arial"/>
          <w:b/>
          <w:bCs/>
          <w:u w:val="single"/>
        </w:rPr>
        <w:t>FERC’s Continued Involvement</w:t>
      </w:r>
    </w:p>
    <w:p>
      <w:pPr>
        <w:pStyle w:val="Normal"/>
        <w:spacing w:lineRule="auto" w:line="480"/>
        <w:ind w:firstLine="720" w:end="0"/>
        <w:rPr>
          <w:rFonts w:ascii="Arial" w:hAnsi="Arial" w:cs="Arial"/>
        </w:rPr>
      </w:pPr>
      <w:r>
        <w:rPr>
          <w:rFonts w:cs="Arial" w:ascii="Arial" w:hAnsi="Arial"/>
        </w:rPr>
        <w:t>EPSA strongly supports FERC’s continued involvement in the development of one RTO for the Southeast to keep the momentum the Commission has created by mandating the mediation process.  EPSA believes such continued involvement is critical to achieving RTO market operations in the Southeast as soon as possible.  We cannot overestimate the damage to market efficiency and consumer benefits that are resulting from continued delays to full wholesale competition, a problem that plagues the entire country. Consequently it is important that the Commission support its continued involvement now that the mediation process has concluded.</w:t>
      </w:r>
    </w:p>
    <w:p>
      <w:pPr>
        <w:pStyle w:val="Normal"/>
        <w:keepLines/>
        <w:tabs>
          <w:tab w:val="clear" w:pos="720"/>
          <w:tab w:val="left" w:pos="-720" w:leader="none"/>
        </w:tabs>
        <w:suppressAutoHyphens w:val="true"/>
        <w:spacing w:lineRule="auto" w:line="480"/>
        <w:rPr>
          <w:rFonts w:ascii="Arial" w:hAnsi="Arial" w:cs="Arial"/>
        </w:rPr>
      </w:pPr>
      <w:r>
        <w:rPr>
          <w:rFonts w:cs="Arial" w:ascii="Arial" w:hAnsi="Arial"/>
        </w:rPr>
        <w:tab/>
        <w:t>In order for the Commission to remain committed to progress it must be willing to commit to remaining involved in the SPG development process going forward.  Several issue areas are still likely to be the focus of significant debate and will require a collaborative process that the stakeholders could remain responsible for establishing.  Resolving these issues and more importantly, their associated details will be critical to the enduring success of the eventual SPG.</w:t>
      </w:r>
    </w:p>
    <w:p>
      <w:pPr>
        <w:pStyle w:val="Normal"/>
        <w:tabs>
          <w:tab w:val="clear" w:pos="720"/>
          <w:tab w:val="left" w:pos="-720" w:leader="none"/>
        </w:tabs>
        <w:suppressAutoHyphens w:val="true"/>
        <w:spacing w:lineRule="auto" w:line="480"/>
        <w:rPr>
          <w:rFonts w:ascii="Arial" w:hAnsi="Arial" w:cs="Arial"/>
        </w:rPr>
      </w:pPr>
      <w:r>
        <w:rPr>
          <w:rFonts w:cs="Arial" w:ascii="Arial" w:hAnsi="Arial"/>
        </w:rPr>
        <w:tab/>
        <w:t>The Commission’s continued involvement is critical to the formation of a seamless power grid.  Market participants can benefit from first-hand FERC input on previous rulings from other regions.  This can help prevent any future SPG filings from attempting to establish rules, protocols, and plans that are contrary to Commission precedent.  Moreover continued Commission involvement would prevent disagreements between stakeholders on specific points from stalling the process, and potentially resulting in a deficient filing.  Potentially, the FERC will incur added costs of travel and staff time; however, well-developed and broadly supported filings that follow FERC’s current thinking will more than offset these costs.</w:t>
      </w:r>
    </w:p>
    <w:p>
      <w:pPr>
        <w:pStyle w:val="Normal"/>
        <w:tabs>
          <w:tab w:val="clear" w:pos="720"/>
          <w:tab w:val="left" w:pos="-720" w:leader="none"/>
        </w:tabs>
        <w:suppressAutoHyphens w:val="true"/>
        <w:spacing w:lineRule="auto" w:line="480"/>
        <w:rPr>
          <w:rFonts w:ascii="Arial" w:hAnsi="Arial" w:cs="Arial"/>
        </w:rPr>
      </w:pPr>
      <w:r>
        <w:rPr>
          <w:rFonts w:cs="Arial" w:ascii="Arial" w:hAnsi="Arial"/>
        </w:rPr>
        <w:tab/>
        <w:t xml:space="preserve">The Commission’s presence in the process going-forward will prevent any future delay by providing ongoing dialogue between regulators and market participants.  This will shortcut the time-consuming sequence of: (1) internal negotiations; (2) filings; (3) filing responses and, hopefully, obviate the need for going through the sequence repeatedly.  A continued Commission presence will also help prevent parties from becoming polarized in their views during negotiations without feeling a need to compromise. </w:t>
      </w:r>
    </w:p>
    <w:p>
      <w:pPr>
        <w:pStyle w:val="Normal"/>
        <w:tabs>
          <w:tab w:val="clear" w:pos="720"/>
          <w:tab w:val="left" w:pos="-720" w:leader="none"/>
        </w:tabs>
        <w:suppressAutoHyphens w:val="true"/>
        <w:spacing w:lineRule="auto" w:line="480"/>
        <w:rPr>
          <w:rFonts w:ascii="Arial" w:hAnsi="Arial" w:cs="Arial"/>
        </w:rPr>
      </w:pPr>
      <w:r>
        <w:rPr>
          <w:rFonts w:cs="Arial" w:ascii="Arial" w:hAnsi="Arial"/>
        </w:rPr>
        <w:tab/>
        <w:t>EPSA believes that future stakeholder meetings in the SPG development process will work best by involving two FERC staff representatives and, to avoid ex-parte concerns, EPSA recognizes that any meeting attended by the Commission staff must be publicly noticed. These Commission staff representatives should be knowledgeable of the Southeast process and can serve as back-ups to one another.  Thus if a situation arises where one staff member cannot participate in a meeting, the alternate should be able to stand in as a proxy for the other Commission representative.</w:t>
      </w:r>
    </w:p>
    <w:p>
      <w:pPr>
        <w:pStyle w:val="Normal"/>
        <w:tabs>
          <w:tab w:val="clear" w:pos="720"/>
          <w:tab w:val="left" w:pos="-720" w:leader="none"/>
        </w:tabs>
        <w:suppressAutoHyphens w:val="true"/>
        <w:spacing w:lineRule="auto" w:line="480"/>
        <w:rPr>
          <w:rFonts w:ascii="Arial" w:hAnsi="Arial" w:cs="Arial"/>
        </w:rPr>
      </w:pPr>
      <w:r>
        <w:rPr>
          <w:rFonts w:cs="Arial" w:ascii="Arial" w:hAnsi="Arial"/>
        </w:rPr>
        <w:tab/>
        <w:t>Staff involvement will give the Commission the ability to monitor the process during the post-mediation period.  If questions arise during the post-mediation period, the staffers can supply on-the-spot answers or coordinate with senior staff in Washington to get answers to the parties quickly.  The efficiency of this established feedback channel ensures that negotiations between parties do not bog down and hinder the completion of the overall process over a single issue.  Moreover, the presence of Commission staff assists in maintaining a cooperative approach between the parties, as the mediation process evidenced.</w:t>
      </w:r>
    </w:p>
    <w:p>
      <w:pPr>
        <w:pStyle w:val="Normal"/>
        <w:tabs>
          <w:tab w:val="clear" w:pos="720"/>
          <w:tab w:val="left" w:pos="-720" w:leader="none"/>
        </w:tabs>
        <w:suppressAutoHyphens w:val="true"/>
        <w:spacing w:lineRule="auto" w:line="480"/>
        <w:rPr>
          <w:rFonts w:ascii="Arial" w:hAnsi="Arial" w:cs="Arial"/>
        </w:rPr>
      </w:pPr>
      <w:r>
        <w:rPr>
          <w:rFonts w:cs="Arial" w:ascii="Arial" w:hAnsi="Arial"/>
        </w:rPr>
        <w:tab/>
        <w:t xml:space="preserve">Having Commission representatives in the field for the SPG process can prove valuable as a way for the FERC to continue to engage state public utility commissions and remain responsive to their concerns, as details about the ultimate organization get refined.  The involvement of state commissions is integral to the success of more competitive wholesale markets in the Southeast.  </w:t>
      </w:r>
    </w:p>
    <w:p>
      <w:pPr>
        <w:pStyle w:val="Normal"/>
        <w:keepNext w:val="true"/>
        <w:keepLines/>
        <w:tabs>
          <w:tab w:val="clear" w:pos="720"/>
          <w:tab w:val="left" w:pos="-720" w:leader="none"/>
        </w:tabs>
        <w:suppressAutoHyphens w:val="true"/>
        <w:spacing w:lineRule="auto" w:line="480"/>
        <w:rPr>
          <w:rFonts w:ascii="Arial" w:hAnsi="Arial" w:cs="Arial"/>
          <w:u w:val="single"/>
        </w:rPr>
      </w:pPr>
      <w:r>
        <w:rPr>
          <w:rFonts w:cs="Arial" w:ascii="Arial" w:hAnsi="Arial"/>
          <w:b/>
          <w:bCs/>
          <w:u w:val="single"/>
        </w:rPr>
        <w:t>Proposed Milestones and Deadlines</w:t>
      </w:r>
    </w:p>
    <w:p>
      <w:pPr>
        <w:pStyle w:val="Normal"/>
        <w:keepLines/>
        <w:tabs>
          <w:tab w:val="clear" w:pos="720"/>
          <w:tab w:val="left" w:pos="-720" w:leader="none"/>
        </w:tabs>
        <w:suppressAutoHyphens w:val="true"/>
        <w:spacing w:lineRule="auto" w:line="480"/>
        <w:rPr>
          <w:rFonts w:ascii="Arial" w:hAnsi="Arial" w:cs="Arial"/>
        </w:rPr>
      </w:pPr>
      <w:r>
        <w:rPr>
          <w:rFonts w:cs="Arial" w:ascii="Arial" w:hAnsi="Arial"/>
        </w:rPr>
        <w:tab/>
        <w:t>EPSA concurs with the deadlines suggested in the mediation report but feels a more comprehensive schedule must be outlined to provide the adequate process structure to meet the Commission’s RTO goals.  EPSA remains confident that a single SPG can be formed in a timely manner, that will provide certainty to the market, steadily reduce business risks for those who have and will invest in both generation and transmission in the Southeast, and provide consumers with the quickest path to a cost-effective market structure – all while maintaining the reliability of the existing system.</w:t>
      </w:r>
    </w:p>
    <w:p>
      <w:pPr>
        <w:pStyle w:val="Normal"/>
        <w:keepLines/>
        <w:tabs>
          <w:tab w:val="clear" w:pos="720"/>
          <w:tab w:val="left" w:pos="-720" w:leader="none"/>
        </w:tabs>
        <w:suppressAutoHyphens w:val="true"/>
        <w:spacing w:lineRule="auto" w:line="480"/>
        <w:rPr/>
      </w:pPr>
      <w:r>
        <w:rPr>
          <w:rFonts w:cs="Arial" w:ascii="Arial" w:hAnsi="Arial"/>
        </w:rPr>
        <w:tab/>
        <w:t>The Commission’s September 26</w:t>
      </w:r>
      <w:r>
        <w:rPr>
          <w:rFonts w:cs="Arial" w:ascii="Arial" w:hAnsi="Arial"/>
          <w:vertAlign w:val="superscript"/>
        </w:rPr>
        <w:t>th</w:t>
      </w:r>
      <w:r>
        <w:rPr>
          <w:rFonts w:cs="Arial" w:ascii="Arial" w:hAnsi="Arial"/>
        </w:rPr>
        <w:t xml:space="preserve"> proposal of an aggressive schedule to resolve RTO structural issues should serve to facilitate the rapid formation of the SPG.  If the Collaborative process going forward includes the Commissions involvement we remain confident that the Commission will remain vigilant in maintaining a timely schedule for RTO formation in the Southeast.</w:t>
      </w:r>
    </w:p>
    <w:p>
      <w:pPr>
        <w:pStyle w:val="Heading1"/>
        <w:spacing w:lineRule="auto" w:line="480"/>
        <w:ind w:hanging="0" w:start="0"/>
        <w:rPr>
          <w:u w:val="single"/>
        </w:rPr>
      </w:pPr>
      <w:r>
        <w:rPr>
          <w:u w:val="single"/>
        </w:rPr>
        <w:t>Conclusion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spacing w:lineRule="auto" w:line="480"/>
        <w:rPr>
          <w:rFonts w:ascii="Arial" w:hAnsi="Arial" w:cs="Arial"/>
        </w:rPr>
      </w:pPr>
      <w:r>
        <w:rPr>
          <w:rFonts w:cs="Arial" w:ascii="Arial" w:hAnsi="Arial"/>
        </w:rPr>
        <w:tab/>
        <w:t>EPSA supports the great strides that have been made during the recently completed Southeast RTO mediation process.  EPSA believes that the Mediation Report serves as a testament to that progress.  To maintain this momentum EPSA applauds the Judge’s endorsement of the Collaborative Governance Model, while recognizing that the additional details of the eventual success of the Model will rely significantly on how the collaborative process will go forward.  Advancing the collaborative process in the future will require Commission involvement, otherwise the Commission risks losing the progress made in the last 45 days to inertia and backsliding by the market-participants.  The Commission can make the first step of being actively involved by presenting a schedule for stakeholders to follow as they begin the post-mediation collaborative process.  EPSA has great confidence that if the FERC remains engaged in the Southeast RTO process it will lead to a single competitive, wholesale market for power in the Southeast in an efficient and expeditious manner.</w:t>
      </w:r>
    </w:p>
    <w:p>
      <w:pPr>
        <w:pStyle w:val="Normal"/>
        <w:widowControl/>
        <w:rPr>
          <w:rFonts w:ascii="Arial" w:hAnsi="Arial" w:cs="Arial"/>
        </w:rPr>
      </w:pPr>
      <w:r>
        <w:rPr>
          <w:rFonts w:cs="Arial" w:ascii="Arial" w:hAnsi="Arial"/>
        </w:rPr>
      </w:r>
    </w:p>
    <w:p>
      <w:pPr>
        <w:pStyle w:val="TOAHeading"/>
        <w:widowControl/>
        <w:tabs>
          <w:tab w:val="clear" w:pos="9360"/>
        </w:tabs>
        <w:suppressAutoHyphens w:val="false"/>
        <w:spacing w:lineRule="auto" w:line="240"/>
        <w:rPr>
          <w:rFonts w:ascii="Arial" w:hAnsi="Arial" w:cs="Arial"/>
        </w:rPr>
      </w:pPr>
      <w:r>
        <w:rPr>
          <w:rFonts w:cs="Arial" w:ascii="Arial" w:hAnsi="Arial"/>
        </w:rPr>
        <w:t>October 1, 2001</w:t>
      </w:r>
    </w:p>
    <w:p>
      <w:pPr>
        <w:pStyle w:val="Normal"/>
        <w:widowControl/>
        <w:rPr>
          <w:rFonts w:ascii="Arial" w:hAnsi="Arial" w:cs="Arial"/>
        </w:rPr>
      </w:pPr>
      <w:r>
        <w:rPr>
          <w:rFonts w:cs="Arial" w:ascii="Arial" w:hAnsi="Arial"/>
        </w:rPr>
      </w:r>
    </w:p>
    <w:p>
      <w:pPr>
        <w:pStyle w:val="Normal"/>
        <w:widowControl/>
        <w:rPr>
          <w:rFonts w:ascii="Arial" w:hAnsi="Arial" w:cs="Arial"/>
        </w:rPr>
      </w:pPr>
      <w:r>
        <w:rPr>
          <w:rFonts w:cs="Arial" w:ascii="Arial" w:hAnsi="Arial"/>
        </w:rPr>
      </w:r>
    </w:p>
    <w:p>
      <w:pPr>
        <w:pStyle w:val="Normal"/>
        <w:widowControl/>
        <w:rPr>
          <w:rFonts w:ascii="Arial" w:hAnsi="Arial" w:cs="Arial"/>
        </w:rPr>
      </w:pPr>
      <w:r>
        <w:rPr>
          <w:rFonts w:cs="Arial" w:ascii="Arial" w:hAnsi="Arial"/>
        </w:rPr>
        <w:tab/>
        <w:tab/>
        <w:tab/>
        <w:tab/>
        <w:tab/>
        <w:tab/>
        <w:t>Respectfully submitted,</w:t>
      </w:r>
    </w:p>
    <w:p>
      <w:pPr>
        <w:pStyle w:val="Normal"/>
        <w:widowControl/>
        <w:rPr>
          <w:rFonts w:ascii="Arial" w:hAnsi="Arial" w:cs="Arial"/>
        </w:rPr>
      </w:pPr>
      <w:r>
        <w:rPr>
          <w:rFonts w:cs="Arial" w:ascii="Arial" w:hAnsi="Arial"/>
        </w:rPr>
        <w:tab/>
        <w:tab/>
        <w:tab/>
        <w:tab/>
        <w:tab/>
        <w:tab/>
      </w:r>
    </w:p>
    <w:p>
      <w:pPr>
        <w:pStyle w:val="Normal"/>
        <w:widowControl/>
        <w:rPr>
          <w:rFonts w:ascii="Arial" w:hAnsi="Arial" w:cs="Arial"/>
          <w:b/>
          <w:sz w:val="32"/>
        </w:rPr>
      </w:pPr>
      <w:r>
        <w:rPr>
          <w:rFonts w:cs="Arial" w:ascii="Arial" w:hAnsi="Arial"/>
        </w:rPr>
        <w:tab/>
        <w:tab/>
        <w:tab/>
        <w:tab/>
        <w:tab/>
        <w:tab/>
      </w:r>
    </w:p>
    <w:p>
      <w:pPr>
        <w:pStyle w:val="Normal"/>
        <w:widowControl/>
        <w:rPr>
          <w:rFonts w:ascii="Arial" w:hAnsi="Arial" w:cs="Arial"/>
        </w:rPr>
      </w:pPr>
      <w:r>
        <w:rPr>
          <w:rFonts w:cs="Arial" w:ascii="Arial" w:hAnsi="Arial"/>
        </w:rPr>
        <w:tab/>
        <w:tab/>
        <w:tab/>
        <w:tab/>
        <w:tab/>
        <w:tab/>
      </w:r>
    </w:p>
    <w:p>
      <w:pPr>
        <w:pStyle w:val="Normal"/>
        <w:widowControl/>
        <w:rPr>
          <w:rFonts w:ascii="Arial" w:hAnsi="Arial" w:cs="Arial"/>
        </w:rPr>
      </w:pPr>
      <w:r>
        <w:rPr>
          <w:rFonts w:cs="Arial" w:ascii="Arial" w:hAnsi="Arial"/>
        </w:rPr>
        <w:tab/>
        <w:tab/>
        <w:tab/>
        <w:tab/>
        <w:tab/>
        <w:tab/>
        <w:t>______________________________</w:t>
      </w:r>
    </w:p>
    <w:p>
      <w:pPr>
        <w:pStyle w:val="Normal"/>
        <w:widowControl/>
        <w:ind w:start="4320" w:end="0"/>
        <w:rPr>
          <w:rFonts w:ascii="Arial" w:hAnsi="Arial" w:cs="Arial"/>
        </w:rPr>
      </w:pPr>
      <w:r>
        <w:rPr>
          <w:rFonts w:cs="Arial" w:ascii="Arial" w:hAnsi="Arial"/>
        </w:rPr>
        <w:t>Julie Simon, Vice President of Policy</w:t>
      </w:r>
    </w:p>
    <w:p>
      <w:pPr>
        <w:pStyle w:val="Normal"/>
        <w:widowControl/>
        <w:ind w:start="4320" w:end="0"/>
        <w:rPr>
          <w:rFonts w:ascii="Arial" w:hAnsi="Arial" w:cs="Arial"/>
        </w:rPr>
      </w:pPr>
      <w:r>
        <w:rPr>
          <w:rFonts w:cs="Arial" w:ascii="Arial" w:hAnsi="Arial"/>
        </w:rPr>
        <w:t>Jack Cashin, Senior Manager of Policy</w:t>
      </w:r>
    </w:p>
    <w:p>
      <w:pPr>
        <w:pStyle w:val="Normal"/>
        <w:widowControl/>
        <w:ind w:start="4320" w:end="0"/>
        <w:rPr>
          <w:rFonts w:ascii="Arial" w:hAnsi="Arial" w:cs="Arial"/>
          <w:caps/>
        </w:rPr>
      </w:pPr>
      <w:r>
        <w:rPr>
          <w:rFonts w:cs="Arial" w:ascii="Arial" w:hAnsi="Arial"/>
          <w:caps/>
        </w:rPr>
        <w:t>Electric pOWER SUPPLY Association</w:t>
      </w:r>
    </w:p>
    <w:p>
      <w:pPr>
        <w:pStyle w:val="Normal"/>
        <w:widowControl/>
        <w:ind w:start="4320" w:end="0"/>
        <w:rPr>
          <w:rFonts w:ascii="Arial" w:hAnsi="Arial" w:cs="Arial"/>
        </w:rPr>
      </w:pPr>
      <w:r>
        <w:rPr>
          <w:rFonts w:cs="Arial" w:ascii="Arial" w:hAnsi="Arial"/>
        </w:rPr>
        <w:t>1101 14th Street, N.W.</w:t>
      </w:r>
    </w:p>
    <w:p>
      <w:pPr>
        <w:pStyle w:val="Normal"/>
        <w:widowControl/>
        <w:ind w:start="4320" w:end="0"/>
        <w:rPr>
          <w:rFonts w:ascii="Arial" w:hAnsi="Arial" w:cs="Arial"/>
        </w:rPr>
      </w:pPr>
      <w:r>
        <w:rPr>
          <w:rFonts w:cs="Arial" w:ascii="Arial" w:hAnsi="Arial"/>
        </w:rPr>
        <w:t>Washington, D.C.  20005</w:t>
      </w:r>
    </w:p>
    <w:p>
      <w:pPr>
        <w:pStyle w:val="Normal"/>
        <w:widowControl/>
        <w:ind w:start="4320" w:end="0"/>
        <w:rPr>
          <w:rFonts w:ascii="Arial" w:hAnsi="Arial" w:cs="Arial"/>
        </w:rPr>
      </w:pPr>
      <w:r>
        <w:rPr>
          <w:rFonts w:cs="Arial" w:ascii="Arial" w:hAnsi="Arial"/>
        </w:rPr>
        <w:t>202-628-8200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spacing w:lineRule="auto" w:line="480"/>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spacing w:lineRule="auto" w:line="480"/>
        <w:rPr>
          <w:rFonts w:ascii="Arial" w:hAnsi="Arial" w:cs="Arial"/>
        </w:rPr>
      </w:pPr>
      <w:r>
        <w:rPr>
          <w:rFonts w:cs="Arial" w:ascii="Arial" w:hAnsi="Arial"/>
        </w:rPr>
      </w:r>
    </w:p>
    <w:p>
      <w:pPr>
        <w:pStyle w:val="TOAHeading"/>
        <w:tabs>
          <w:tab w:val="clear" w:pos="9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Arial" w:hAnsi="Arial" w:eastAsia="Arial" w:cs="Arial"/>
        </w:rPr>
      </w:pPr>
      <w:r>
        <w:rPr>
          <w:rFonts w:eastAsia="Arial" w:cs="Arial" w:ascii="Arial" w:hAnsi="Arial"/>
        </w:rPr>
        <w:t xml:space="preserve"> </w:t>
      </w:r>
      <w:r>
        <w:br w:type="page"/>
      </w:r>
    </w:p>
    <w:p>
      <w:pPr>
        <w:pStyle w:val="TitleStyle"/>
        <w:spacing w:lineRule="exact" w:line="520"/>
        <w:rPr>
          <w:rFonts w:ascii="Arial" w:hAnsi="Arial" w:cs="Arial"/>
          <w:u w:val="single"/>
        </w:rPr>
      </w:pPr>
      <w:r>
        <w:rPr>
          <w:rFonts w:cs="Arial" w:ascii="Arial" w:hAnsi="Arial"/>
          <w:u w:val="single"/>
        </w:rPr>
        <w:t>cErtificate of service</w:t>
      </w:r>
    </w:p>
    <w:p>
      <w:pPr>
        <w:pStyle w:val="TitleStyle"/>
        <w:spacing w:lineRule="auto" w:line="480"/>
        <w:rPr>
          <w:rFonts w:ascii="Arial" w:hAnsi="Arial" w:cs="Arial"/>
          <w:u w:val="single"/>
        </w:rPr>
      </w:pPr>
      <w:r>
        <w:rPr>
          <w:rFonts w:cs="Arial" w:ascii="Arial" w:hAnsi="Arial"/>
          <w:u w:val="single"/>
        </w:rPr>
      </w:r>
    </w:p>
    <w:p>
      <w:pPr>
        <w:pStyle w:val="BodyTextStyle"/>
        <w:spacing w:lineRule="auto" w:line="480"/>
        <w:rPr>
          <w:rFonts w:ascii="Arial" w:hAnsi="Arial" w:cs="Arial"/>
        </w:rPr>
      </w:pPr>
      <w:r>
        <w:rPr>
          <w:rFonts w:cs="Arial" w:ascii="Arial" w:hAnsi="Arial"/>
        </w:rPr>
        <w:t>I hereby certify that I have served a copy of the foregoing Comments by first class United States mail, postage prepaid, upon each person designated on the official service list compiled by the Secretary in this proceeding.</w:t>
      </w:r>
    </w:p>
    <w:p>
      <w:pPr>
        <w:pStyle w:val="BodyTextStyle"/>
        <w:spacing w:lineRule="auto" w:line="480"/>
        <w:ind w:hanging="0" w:end="0"/>
        <w:rPr/>
      </w:pPr>
      <w:r>
        <w:rPr>
          <w:rFonts w:cs="Arial" w:ascii="Arial" w:hAnsi="Arial"/>
          <w:caps/>
        </w:rPr>
        <w:t>d</w:t>
      </w:r>
      <w:r>
        <w:rPr>
          <w:rFonts w:cs="Arial" w:ascii="Arial" w:hAnsi="Arial"/>
        </w:rPr>
        <w:t>ated at Washington, D.C. this 1</w:t>
      </w:r>
      <w:r>
        <w:rPr>
          <w:rFonts w:cs="Arial" w:ascii="Arial" w:hAnsi="Arial"/>
          <w:vertAlign w:val="superscript"/>
        </w:rPr>
        <w:t>st</w:t>
      </w:r>
      <w:r>
        <w:rPr>
          <w:rFonts w:cs="Arial" w:ascii="Arial" w:hAnsi="Arial"/>
        </w:rPr>
        <w:t xml:space="preserve"> day of September 2001.</w:t>
      </w:r>
    </w:p>
    <w:p>
      <w:pPr>
        <w:pStyle w:val="BodyTextStyle"/>
        <w:spacing w:lineRule="auto" w:line="480"/>
        <w:rPr>
          <w:rFonts w:ascii="Arial" w:hAnsi="Arial" w:cs="Arial"/>
        </w:rPr>
      </w:pPr>
      <w:r>
        <w:rPr>
          <w:rFonts w:cs="Arial" w:ascii="Arial" w:hAnsi="Arial"/>
        </w:rPr>
      </w:r>
    </w:p>
    <w:p>
      <w:pPr>
        <w:pStyle w:val="BodyTextStyle"/>
        <w:rPr>
          <w:rFonts w:ascii="Arial" w:hAnsi="Arial" w:cs="Arial"/>
        </w:rPr>
      </w:pPr>
      <w:r>
        <w:rPr>
          <w:rFonts w:cs="Arial" w:ascii="Arial" w:hAnsi="Arial"/>
        </w:rPr>
        <mc:AlternateContent>
          <mc:Choice Requires="wps">
            <w:drawing>
              <wp:anchor behindDoc="0" distT="0" distB="0" distL="114935" distR="114935" simplePos="0" locked="0" layoutInCell="1" allowOverlap="1" relativeHeight="3">
                <wp:simplePos x="0" y="0"/>
                <wp:positionH relativeFrom="column">
                  <wp:posOffset>2926080</wp:posOffset>
                </wp:positionH>
                <wp:positionV relativeFrom="paragraph">
                  <wp:posOffset>248920</wp:posOffset>
                </wp:positionV>
                <wp:extent cx="1828800" cy="0"/>
                <wp:effectExtent l="0" t="5080" r="0" b="5080"/>
                <wp:wrapNone/>
                <wp:docPr id="1"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0.4pt,19.6pt" to="374.35pt,19.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Arial" w:ascii="Arial" w:hAnsi="Arial"/>
        </w:rPr>
        <w:tab/>
        <w:tab/>
        <w:tab/>
        <w:tab/>
        <w:tab/>
      </w:r>
    </w:p>
    <w:p>
      <w:pPr>
        <w:pStyle w:val="BodyTextStyle"/>
        <w:spacing w:lineRule="auto" w:line="480"/>
        <w:ind w:hanging="0" w:end="0"/>
        <w:rPr>
          <w:rFonts w:ascii="Arial" w:hAnsi="Arial" w:cs="Arial"/>
          <w:caps/>
        </w:rPr>
      </w:pPr>
      <w:r>
        <w:rPr>
          <w:rFonts w:cs="Arial" w:ascii="Arial" w:hAnsi="Arial"/>
        </w:rPr>
        <w:tab/>
        <w:tab/>
        <w:tab/>
        <w:tab/>
        <w:tab/>
        <w:tab/>
        <w:t xml:space="preserve">    Julie Simon</w:t>
      </w:r>
    </w:p>
    <w:p>
      <w:pPr>
        <w:pStyle w:val="BodyTextStyle"/>
        <w:spacing w:lineRule="auto" w:line="480"/>
        <w:ind w:hanging="0" w:end="0"/>
        <w:rPr>
          <w:rFonts w:ascii="Arial" w:hAnsi="Arial" w:cs="Arial"/>
          <w:caps/>
        </w:rPr>
      </w:pPr>
      <w:r>
        <w:rPr>
          <w:rFonts w:cs="Arial" w:ascii="Arial" w:hAnsi="Arial"/>
          <w:caps/>
        </w:rPr>
      </w:r>
    </w:p>
    <w:p>
      <w:pPr>
        <w:pStyle w:val="TOAHeading"/>
        <w:tabs>
          <w:tab w:val="clear" w:pos="9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Arial" w:hAnsi="Arial" w:cs="Arial"/>
          <w:caps/>
        </w:rPr>
      </w:pPr>
      <w:r>
        <w:rPr>
          <w:rFonts w:cs="Arial" w:ascii="Arial" w:hAnsi="Arial"/>
          <w:caps/>
        </w:rPr>
      </w:r>
    </w:p>
    <w:sectPr>
      <w:headerReference w:type="default" r:id="rId2"/>
      <w:footnotePr>
        <w:numFmt w:val="decimal"/>
      </w:footnotePr>
      <w:type w:val="nextPage"/>
      <w:pgSz w:w="12240" w:h="15840"/>
      <w:pgMar w:left="1800" w:right="1800" w:gutter="0" w:header="1440" w:top="1496"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lliard">
    <w:altName w:val="Times New Roman"/>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widowControl/>
        <w:rPr/>
      </w:pPr>
      <w:r>
        <w:rPr>
          <w:rStyle w:val="FootnoteCharacters"/>
        </w:rPr>
        <w:footnoteRef/>
      </w:r>
      <w:r>
        <w:rPr>
          <w:rFonts w:cs="Arial" w:ascii="Arial" w:hAnsi="Arial"/>
          <w:sz w:val="20"/>
        </w:rPr>
        <w:t xml:space="preserve"> </w:t>
      </w:r>
      <w:r>
        <w:rPr>
          <w:rFonts w:cs="Arial" w:ascii="Arial" w:hAnsi="Arial"/>
          <w:sz w:val="20"/>
          <w:szCs w:val="26"/>
        </w:rPr>
        <w:t>Southern Company, acted as agent for Alabama Power Company, Georgia Power Company, Gulf Power Company, Mississippi Power Company and Savannah Electric and Power Company, and its supporting plan sponsors Georgia Transmission Corporation (“GTC”), MEAG Power, Dalton Utilities, South Mississippi Electric Power Association (“SMEPA”), the City of Tallahassee, Florida (“Tallahassee”), JEA (formerly Jacksonville Electric Authority), South Carolina Public Service Authority (“Santee Cooper”) (collectively referred to as the "SeTrans Model"), during the mediation.</w:t>
      </w:r>
    </w:p>
    <w:p>
      <w:pPr>
        <w:pStyle w:val="FootnoteText"/>
        <w:rPr>
          <w:rFonts w:ascii="Arial" w:hAnsi="Arial" w:cs="Arial"/>
          <w:sz w:val="20"/>
          <w:szCs w:val="26"/>
        </w:rPr>
      </w:pPr>
      <w:r>
        <w:rPr>
          <w:rFonts w:cs="Arial" w:ascii="Arial" w:hAnsi="Arial"/>
          <w:sz w:val="20"/>
          <w:szCs w:val="26"/>
        </w:rPr>
      </w:r>
    </w:p>
  </w:footnote>
  <w:footnote w:id="3">
    <w:p>
      <w:pPr>
        <w:pStyle w:val="Normal"/>
        <w:widowControl/>
        <w:ind w:firstLine="720" w:end="0"/>
        <w:rPr/>
      </w:pPr>
      <w:r>
        <w:rPr>
          <w:rStyle w:val="FootnoteCharacters"/>
        </w:rPr>
        <w:footnoteRef/>
      </w:r>
      <w:r>
        <w:rPr/>
        <w:t xml:space="preserve"> </w:t>
      </w:r>
      <w:r>
        <w:rPr>
          <w:rFonts w:cs="Arial" w:ascii="Arial" w:hAnsi="Arial"/>
          <w:sz w:val="20"/>
        </w:rPr>
        <w:t>Also, the Commission encouraged the parties in Docket No. RT01-67-000 (GridFlorida) to participate in the mediation process and urged the various State Commissions, the Tennessee Valley Authority (TVA), the South Carolina Public Service Authority (Santee Cooper), and the</w:t>
      </w:r>
      <w:r>
        <w:rPr/>
        <w:t xml:space="preserve"> </w:t>
      </w:r>
      <w:r>
        <w:rPr>
          <w:rFonts w:cs="Arial" w:ascii="Arial" w:hAnsi="Arial"/>
          <w:sz w:val="20"/>
        </w:rPr>
        <w:t>Southeastern Power Administration (SEPA) to be present and to engage as full participants in the mediation.</w:t>
      </w:r>
      <w:r>
        <w:rPr>
          <w:sz w:val="20"/>
        </w:rPr>
        <w:t xml:space="preserve"> </w:t>
      </w:r>
    </w:p>
  </w:footnote>
  <w:footnote w:id="4">
    <w:p>
      <w:pPr>
        <w:pStyle w:val="FootnoteText"/>
        <w:rPr>
          <w:rFonts w:ascii="Arial" w:hAnsi="Arial" w:cs="Arial"/>
        </w:rPr>
      </w:pPr>
      <w:r>
        <w:rPr>
          <w:rStyle w:val="FootnoteCharacters"/>
        </w:rPr>
        <w:footnoteRef/>
      </w:r>
      <w:r>
        <w:rPr>
          <w:rFonts w:cs="Arial" w:ascii="Arial" w:hAnsi="Arial"/>
        </w:rPr>
      </w:r>
    </w:p>
    <w:p>
      <w:pPr>
        <w:pStyle w:val="FootnoteText"/>
        <w:rPr/>
      </w:pPr>
      <w:r>
        <w:rPr>
          <w:rStyle w:val="FootnoteCharacters"/>
          <w:rFonts w:cs="Arial" w:ascii="Arial" w:hAnsi="Arial"/>
        </w:rPr>
        <w:t>?</w:t>
      </w:r>
      <w:r>
        <w:rPr>
          <w:rFonts w:cs="Arial" w:ascii="Arial" w:hAnsi="Arial"/>
        </w:rPr>
        <w:t xml:space="preserve">  The comments contained in this filing represent the position of EPSA as an organization, but not necessarily the view of any particular member with respect to any issue.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bCs/>
        <w:sz w:val="32"/>
      </w:rPr>
    </w:pPr>
    <w:r>
      <w:rPr>
        <w:rFonts w:cs="Arial" w:ascii="Arial" w:hAnsi="Arial"/>
        <w:b/>
        <w:bCs/>
        <w:sz w:val="32"/>
      </w:rPr>
      <w:t xml:space="preserve">DRAFT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spacing w:lineRule="atLeast" w:line="240"/>
      <w:outlineLvl w:val="0"/>
    </w:pPr>
    <w:rPr>
      <w:rFonts w:ascii="Arial" w:hAnsi="Arial" w:cs="Arial"/>
      <w:b/>
      <w:bCs/>
    </w:rPr>
  </w:style>
  <w:style w:type="paragraph" w:styleId="Heading2">
    <w:name w:val="heading 2"/>
    <w:basedOn w:val="Normal"/>
    <w:next w:val="Normal"/>
    <w:qFormat/>
    <w:pPr>
      <w:keepNext w:val="true"/>
      <w:numPr>
        <w:ilvl w:val="1"/>
        <w:numId w:val="1"/>
      </w:numPr>
      <w:suppressAutoHyphens w:val="true"/>
      <w:spacing w:lineRule="auto" w:line="480"/>
      <w:ind w:hanging="0" w:start="360" w:end="0"/>
      <w:outlineLvl w:val="1"/>
    </w:pPr>
    <w:rPr>
      <w:rFonts w:ascii="Arial" w:hAnsi="Arial" w:cs="Arial"/>
      <w:b/>
      <w:bCs/>
      <w:u w:val="single"/>
    </w:rPr>
  </w:style>
  <w:style w:type="paragraph" w:styleId="Heading3">
    <w:name w:val="heading 3"/>
    <w:basedOn w:val="Normal"/>
    <w:next w:val="Normal"/>
    <w:qFormat/>
    <w:pPr>
      <w:keepNext w:val="true"/>
      <w:widowControl/>
      <w:numPr>
        <w:ilvl w:val="2"/>
        <w:numId w:val="1"/>
      </w:numPr>
      <w:autoSpaceDE w:val="true"/>
      <w:outlineLvl w:val="2"/>
    </w:pPr>
    <w:rPr>
      <w:b/>
      <w:szCs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autoSpaceDE w:val="true"/>
      <w:jc w:val="center"/>
    </w:pPr>
    <w:rPr>
      <w:rFonts w:ascii="Arial" w:hAnsi="Arial" w:cs="Arial"/>
      <w:b/>
      <w:szCs w:val="20"/>
    </w:rPr>
  </w:style>
  <w:style w:type="paragraph" w:styleId="List">
    <w:name w:val="List"/>
    <w:basedOn w:val="BodyText"/>
    <w:pPr/>
    <w:rPr>
      <w:rFonts w:cs="NotoSans NF"/>
    </w:rPr>
  </w:style>
  <w:style w:type="paragraph" w:styleId="Caption">
    <w:name w:val="caption"/>
    <w:basedOn w:val="Normal"/>
    <w:next w:val="Normal"/>
    <w:qFormat/>
    <w:pPr/>
    <w:rPr>
      <w:sz w:val="20"/>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FootnoteText">
    <w:name w:val="footnote text"/>
    <w:basedOn w:val="Normal"/>
    <w:pPr/>
    <w:rPr>
      <w:sz w:val="20"/>
    </w:rPr>
  </w:style>
  <w:style w:type="paragraph" w:styleId="TOC1">
    <w:name w:val="toc 1"/>
    <w:basedOn w:val="Normal"/>
    <w:next w:val="Normal"/>
    <w:pPr>
      <w:tabs>
        <w:tab w:val="clear" w:pos="720"/>
        <w:tab w:val="right" w:pos="9360" w:leader="dot"/>
      </w:tabs>
      <w:suppressAutoHyphens w:val="true"/>
      <w:spacing w:lineRule="atLeast" w:line="240" w:before="480" w:after="0"/>
      <w:ind w:hanging="720" w:start="720" w:end="720"/>
    </w:pPr>
    <w:rPr/>
  </w:style>
  <w:style w:type="paragraph" w:styleId="TOC2">
    <w:name w:val="toc 2"/>
    <w:basedOn w:val="Normal"/>
    <w:next w:val="Normal"/>
    <w:pPr>
      <w:tabs>
        <w:tab w:val="clear" w:pos="720"/>
        <w:tab w:val="right" w:pos="9360" w:leader="dot"/>
      </w:tabs>
      <w:suppressAutoHyphens w:val="true"/>
      <w:spacing w:lineRule="atLeast" w:line="240"/>
      <w:ind w:hanging="720" w:start="1440" w:end="720"/>
    </w:pPr>
    <w:rPr/>
  </w:style>
  <w:style w:type="paragraph" w:styleId="TOC3">
    <w:name w:val="toc 3"/>
    <w:basedOn w:val="Normal"/>
    <w:next w:val="Normal"/>
    <w:pPr>
      <w:tabs>
        <w:tab w:val="clear" w:pos="720"/>
        <w:tab w:val="right" w:pos="9360" w:leader="dot"/>
      </w:tabs>
      <w:suppressAutoHyphens w:val="true"/>
      <w:spacing w:lineRule="atLeast" w:line="240"/>
      <w:ind w:hanging="720" w:start="2160" w:end="720"/>
    </w:pPr>
    <w:rPr/>
  </w:style>
  <w:style w:type="paragraph" w:styleId="TOC4">
    <w:name w:val="toc 4"/>
    <w:basedOn w:val="Normal"/>
    <w:next w:val="Normal"/>
    <w:pPr>
      <w:tabs>
        <w:tab w:val="clear" w:pos="720"/>
        <w:tab w:val="right" w:pos="9360" w:leader="dot"/>
      </w:tabs>
      <w:suppressAutoHyphens w:val="true"/>
      <w:spacing w:lineRule="atLeast" w:line="240"/>
      <w:ind w:hanging="720" w:start="2880" w:end="720"/>
    </w:pPr>
    <w:rPr/>
  </w:style>
  <w:style w:type="paragraph" w:styleId="TOC5">
    <w:name w:val="toc 5"/>
    <w:basedOn w:val="Normal"/>
    <w:next w:val="Normal"/>
    <w:pPr>
      <w:tabs>
        <w:tab w:val="clear" w:pos="720"/>
        <w:tab w:val="right" w:pos="9360" w:leader="dot"/>
      </w:tabs>
      <w:suppressAutoHyphens w:val="true"/>
      <w:spacing w:lineRule="atLeast" w:line="240"/>
      <w:ind w:hanging="720" w:start="3600" w:end="720"/>
    </w:pPr>
    <w:rPr/>
  </w:style>
  <w:style w:type="paragraph" w:styleId="TOC6">
    <w:name w:val="toc 6"/>
    <w:basedOn w:val="Normal"/>
    <w:next w:val="Normal"/>
    <w:pPr>
      <w:tabs>
        <w:tab w:val="clear" w:pos="720"/>
        <w:tab w:val="right" w:pos="9360" w:leader="none"/>
      </w:tabs>
      <w:suppressAutoHyphens w:val="true"/>
      <w:spacing w:lineRule="atLeast" w:line="240"/>
      <w:ind w:hanging="720" w:start="720" w:end="0"/>
    </w:pPr>
    <w:rPr/>
  </w:style>
  <w:style w:type="paragraph" w:styleId="TOC7">
    <w:name w:val="toc 7"/>
    <w:basedOn w:val="Normal"/>
    <w:next w:val="Normal"/>
    <w:pPr>
      <w:suppressAutoHyphens w:val="true"/>
      <w:spacing w:lineRule="atLeast" w:line="240"/>
      <w:ind w:hanging="720" w:start="720" w:end="0"/>
    </w:pPr>
    <w:rPr/>
  </w:style>
  <w:style w:type="paragraph" w:styleId="TOC8">
    <w:name w:val="toc 8"/>
    <w:basedOn w:val="Normal"/>
    <w:next w:val="Normal"/>
    <w:pPr>
      <w:tabs>
        <w:tab w:val="clear" w:pos="720"/>
        <w:tab w:val="right" w:pos="9360" w:leader="none"/>
      </w:tabs>
      <w:suppressAutoHyphens w:val="true"/>
      <w:spacing w:lineRule="atLeast" w:line="240"/>
      <w:ind w:hanging="720" w:start="720" w:end="0"/>
    </w:pPr>
    <w:rPr/>
  </w:style>
  <w:style w:type="paragraph" w:styleId="TOC9">
    <w:name w:val="toc 9"/>
    <w:basedOn w:val="Normal"/>
    <w:next w:val="Normal"/>
    <w:pPr>
      <w:tabs>
        <w:tab w:val="clear" w:pos="720"/>
        <w:tab w:val="right" w:pos="9360" w:leader="dot"/>
      </w:tabs>
      <w:suppressAutoHyphens w:val="true"/>
      <w:spacing w:lineRule="atLeast" w:line="240"/>
      <w:ind w:hanging="720" w:start="720" w:end="0"/>
    </w:pPr>
    <w:rPr/>
  </w:style>
  <w:style w:type="paragraph" w:styleId="Index1">
    <w:name w:val="index 1"/>
    <w:basedOn w:val="Normal"/>
    <w:next w:val="Normal"/>
    <w:pPr>
      <w:tabs>
        <w:tab w:val="clear" w:pos="720"/>
        <w:tab w:val="right" w:pos="9360" w:leader="dot"/>
      </w:tabs>
      <w:suppressAutoHyphens w:val="true"/>
      <w:spacing w:lineRule="atLeast" w:line="240"/>
      <w:ind w:hanging="1440" w:start="1440" w:end="720"/>
    </w:pPr>
    <w:rPr/>
  </w:style>
  <w:style w:type="paragraph" w:styleId="Index2">
    <w:name w:val="index 2"/>
    <w:basedOn w:val="Normal"/>
    <w:next w:val="Normal"/>
    <w:pPr>
      <w:tabs>
        <w:tab w:val="clear" w:pos="720"/>
        <w:tab w:val="right" w:pos="9360" w:leader="dot"/>
      </w:tabs>
      <w:suppressAutoHyphens w:val="true"/>
      <w:spacing w:lineRule="atLeast" w:line="240"/>
      <w:ind w:hanging="720" w:start="1440" w:end="720"/>
    </w:pPr>
    <w:rPr/>
  </w:style>
  <w:style w:type="paragraph" w:styleId="TOAHeading">
    <w:name w:val="TOA Heading"/>
    <w:basedOn w:val="Normal"/>
    <w:next w:val="Normal"/>
    <w:qFormat/>
    <w:pPr>
      <w:tabs>
        <w:tab w:val="clear" w:pos="720"/>
        <w:tab w:val="right" w:pos="9360" w:leader="none"/>
      </w:tabs>
      <w:suppressAutoHyphens w:val="true"/>
      <w:spacing w:lineRule="atLeast" w:line="240"/>
    </w:pPr>
    <w:rPr/>
  </w:style>
  <w:style w:type="paragraph" w:styleId="BodyText2">
    <w:name w:val="Body Text 2"/>
    <w:basedOn w:val="Normal"/>
    <w:qFormat/>
    <w:pPr>
      <w:widowControl/>
      <w:autoSpaceDE w:val="true"/>
      <w:spacing w:lineRule="auto" w:line="480"/>
    </w:pPr>
    <w:rPr>
      <w:rFonts w:ascii="Arial" w:hAnsi="Arial" w:cs="Arial"/>
      <w:szCs w:val="20"/>
    </w:rPr>
  </w:style>
  <w:style w:type="paragraph" w:styleId="BodyText3">
    <w:name w:val="Body Text 3"/>
    <w:basedOn w:val="Normal"/>
    <w:qFormat/>
    <w:pPr>
      <w:widowControl/>
      <w:autoSpaceDE w:val="true"/>
      <w:spacing w:lineRule="auto" w:line="480"/>
    </w:pPr>
    <w:rPr>
      <w:rFonts w:ascii="Arial" w:hAnsi="Arial" w:cs="Arial"/>
      <w:color w:val="000000"/>
      <w:szCs w:val="20"/>
    </w:rPr>
  </w:style>
  <w:style w:type="paragraph" w:styleId="BodyTextIndent">
    <w:name w:val="Body Text Indent"/>
    <w:basedOn w:val="Normal"/>
    <w:pPr>
      <w:tabs>
        <w:tab w:val="clear" w:pos="720"/>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spacing w:lineRule="atLeast" w:line="240"/>
      <w:ind w:hanging="2880" w:start="2880" w:end="0"/>
    </w:pPr>
    <w:rPr>
      <w:rFonts w:ascii="Arial" w:hAnsi="Arial" w:cs="Arial"/>
    </w:rPr>
  </w:style>
  <w:style w:type="paragraph" w:styleId="BodyTextIndent2">
    <w:name w:val="Body Text Indent 2"/>
    <w:basedOn w:val="Normal"/>
    <w:qFormat/>
    <w:pPr>
      <w:spacing w:lineRule="auto" w:line="480"/>
      <w:ind w:firstLine="630" w:start="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Style">
    <w:name w:val="Body Text Style"/>
    <w:basedOn w:val="Normal"/>
    <w:qFormat/>
    <w:pPr>
      <w:widowControl/>
      <w:autoSpaceDE w:val="true"/>
      <w:spacing w:lineRule="exact" w:line="520"/>
      <w:ind w:firstLine="1080" w:start="0" w:end="0"/>
    </w:pPr>
    <w:rPr>
      <w:rFonts w:ascii="Galliard;Times New Roman" w:hAnsi="Galliard;Times New Roman" w:cs="Galliard;Times New Roman"/>
      <w:szCs w:val="20"/>
    </w:rPr>
  </w:style>
  <w:style w:type="paragraph" w:styleId="TitleStyle">
    <w:name w:val="Title Style"/>
    <w:basedOn w:val="Normal"/>
    <w:qFormat/>
    <w:pPr>
      <w:widowControl/>
      <w:autoSpaceDE w:val="true"/>
      <w:jc w:val="center"/>
    </w:pPr>
    <w:rPr>
      <w:rFonts w:ascii="Galliard;Times New Roman" w:hAnsi="Galliard;Times New Roman" w:cs="Galliard;Times New Roman"/>
      <w:b/>
      <w:caps/>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2001-10-01T12:50:00Z</dcterms:created>
  <dc:creator>Jack Cashin</dc:creator>
  <dc:description/>
  <dc:language>en-CA</dc:language>
  <cp:lastModifiedBy>User</cp:lastModifiedBy>
  <cp:lastPrinted>2001-10-01T17:49:00Z</cp:lastPrinted>
  <dcterms:modified xsi:type="dcterms:W3CDTF">2001-10-01T19:20:00Z</dcterms:modified>
  <cp:revision>7</cp:revision>
  <dc:subject/>
  <dc:title>UNITED STATES OF AMERICA               </dc:title>
</cp:coreProperties>
</file>