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pPr w:vertAnchor="page" w:horzAnchor="margin" w:rightFromText="180" w:tblpX="0" w:tblpY="726"/>
        <w:tblW w:w="9738" w:type="dxa"/>
        <w:jc w:val="start"/>
        <w:tblInd w:w="108" w:type="dxa"/>
        <w:tblLayout w:type="fixed"/>
        <w:tblCellMar>
          <w:top w:w="0" w:type="dxa"/>
          <w:start w:w="108" w:type="dxa"/>
          <w:bottom w:w="0" w:type="dxa"/>
          <w:end w:w="108" w:type="dxa"/>
        </w:tblCellMar>
      </w:tblPr>
      <w:tblGrid>
        <w:gridCol w:w="1890"/>
        <w:gridCol w:w="468"/>
        <w:gridCol w:w="4140"/>
        <w:gridCol w:w="1440"/>
        <w:gridCol w:w="1602"/>
        <w:gridCol w:w="180"/>
        <w:gridCol w:w="18"/>
      </w:tblGrid>
      <w:tr>
        <w:trPr>
          <w:trHeight w:val="1710" w:hRule="atLeast"/>
        </w:trPr>
        <w:tc>
          <w:tcPr>
            <w:tcW w:w="1890" w:type="dxa"/>
            <w:tcBorders/>
          </w:tcPr>
          <w:p>
            <w:pPr>
              <w:pStyle w:val="FootnoteText"/>
              <w:spacing w:before="20" w:after="0"/>
              <w:rPr/>
            </w:pPr>
            <w:r>
              <w:rPr/>
              <w:drawing>
                <wp:inline distT="0" distB="0" distL="0" distR="0">
                  <wp:extent cx="837565" cy="831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37565" cy="831850"/>
                          </a:xfrm>
                          <a:prstGeom prst="rect">
                            <a:avLst/>
                          </a:prstGeom>
                          <a:noFill/>
                        </pic:spPr>
                      </pic:pic>
                    </a:graphicData>
                  </a:graphic>
                </wp:inline>
              </w:drawing>
            </w:r>
          </w:p>
        </w:tc>
        <w:tc>
          <w:tcPr>
            <w:tcW w:w="7650" w:type="dxa"/>
            <w:gridSpan w:val="4"/>
            <w:tcBorders/>
          </w:tcPr>
          <w:p>
            <w:pPr>
              <w:pStyle w:val="Normal"/>
              <w:snapToGrid w:val="false"/>
              <w:rPr>
                <w:b/>
                <w:sz w:val="20"/>
              </w:rPr>
            </w:pPr>
            <w:r>
              <w:rPr>
                <w:b/>
                <w:sz w:val="20"/>
              </w:rPr>
            </w:r>
          </w:p>
          <w:p>
            <w:pPr>
              <w:pStyle w:val="Header"/>
              <w:tabs>
                <w:tab w:val="clear" w:pos="4320"/>
                <w:tab w:val="clear" w:pos="8640"/>
              </w:tabs>
              <w:rPr>
                <w:b/>
                <w:sz w:val="20"/>
              </w:rPr>
            </w:pPr>
            <w:r>
              <w:rPr>
                <w:b/>
                <w:sz w:val="20"/>
              </w:rPr>
            </w:r>
          </w:p>
          <w:p>
            <w:pPr>
              <w:pStyle w:val="Heading1"/>
              <w:ind w:hanging="0" w:start="0"/>
              <w:jc w:val="end"/>
              <w:rPr>
                <w:sz w:val="24"/>
              </w:rPr>
            </w:pPr>
            <w:r>
              <w:rPr>
                <w:sz w:val="24"/>
              </w:rPr>
              <w:t>DRAFT</w:t>
            </w:r>
          </w:p>
        </w:tc>
        <w:tc>
          <w:tcPr>
            <w:tcW w:w="180" w:type="dxa"/>
            <w:tcBorders/>
            <w:tcMar>
              <w:start w:w="0" w:type="dxa"/>
              <w:end w:w="0" w:type="dxa"/>
            </w:tcMar>
          </w:tcPr>
          <w:p>
            <w:pPr>
              <w:pStyle w:val="Normal"/>
              <w:snapToGrid w:val="false"/>
              <w:rPr>
                <w:b/>
                <w:sz w:val="20"/>
              </w:rPr>
            </w:pPr>
            <w:r>
              <w:rPr>
                <w:b/>
                <w:sz w:val="20"/>
              </w:rPr>
            </w:r>
          </w:p>
        </w:tc>
      </w:tr>
      <w:tr>
        <w:trPr/>
        <w:tc>
          <w:tcPr>
            <w:tcW w:w="2358" w:type="dxa"/>
            <w:gridSpan w:val="2"/>
            <w:tcBorders/>
          </w:tcPr>
          <w:p>
            <w:pPr>
              <w:pStyle w:val="Normal"/>
              <w:spacing w:before="60" w:after="60"/>
              <w:jc w:val="both"/>
              <w:rPr>
                <w:sz w:val="20"/>
              </w:rPr>
            </w:pPr>
            <w:r>
              <w:rPr>
                <w:b/>
                <w:sz w:val="20"/>
              </w:rPr>
              <w:t>TO:</w:t>
            </w:r>
          </w:p>
        </w:tc>
        <w:tc>
          <w:tcPr>
            <w:tcW w:w="4140" w:type="dxa"/>
            <w:tcBorders/>
          </w:tcPr>
          <w:p>
            <w:pPr>
              <w:pStyle w:val="Normal"/>
              <w:spacing w:before="60" w:after="60"/>
              <w:jc w:val="both"/>
              <w:rPr>
                <w:sz w:val="20"/>
              </w:rPr>
            </w:pPr>
            <w:r>
              <w:rPr>
                <w:sz w:val="20"/>
              </w:rPr>
              <w:t>Distribution</w:t>
            </w:r>
          </w:p>
        </w:tc>
        <w:tc>
          <w:tcPr>
            <w:tcW w:w="1440" w:type="dxa"/>
            <w:tcBorders/>
          </w:tcPr>
          <w:p>
            <w:pPr>
              <w:pStyle w:val="Normal"/>
              <w:spacing w:before="60" w:after="60"/>
              <w:jc w:val="both"/>
              <w:rPr>
                <w:b/>
                <w:sz w:val="20"/>
              </w:rPr>
            </w:pPr>
            <w:r>
              <w:rPr>
                <w:b/>
                <w:sz w:val="20"/>
              </w:rPr>
              <w:t>DATE:</w:t>
            </w:r>
          </w:p>
        </w:tc>
        <w:tc>
          <w:tcPr>
            <w:tcW w:w="1800" w:type="dxa"/>
            <w:gridSpan w:val="2"/>
            <w:tcBorders/>
          </w:tcPr>
          <w:p>
            <w:pPr>
              <w:pStyle w:val="Normal"/>
              <w:spacing w:before="60" w:after="60"/>
              <w:jc w:val="both"/>
              <w:rPr>
                <w:sz w:val="20"/>
              </w:rPr>
            </w:pPr>
            <w:r>
              <w:rPr>
                <w:sz w:val="20"/>
              </w:rPr>
              <w:t>August __, 2001</w:t>
            </w:r>
          </w:p>
        </w:tc>
      </w:tr>
      <w:tr>
        <w:trPr/>
        <w:tc>
          <w:tcPr>
            <w:tcW w:w="2358" w:type="dxa"/>
            <w:gridSpan w:val="2"/>
            <w:tcBorders/>
          </w:tcPr>
          <w:p>
            <w:pPr>
              <w:pStyle w:val="Normal"/>
              <w:spacing w:before="60" w:after="60"/>
              <w:jc w:val="both"/>
              <w:rPr>
                <w:sz w:val="20"/>
              </w:rPr>
            </w:pPr>
            <w:r>
              <w:rPr>
                <w:b/>
                <w:sz w:val="20"/>
              </w:rPr>
              <w:t>FROM:</w:t>
            </w:r>
          </w:p>
        </w:tc>
        <w:tc>
          <w:tcPr>
            <w:tcW w:w="4140" w:type="dxa"/>
            <w:tcBorders/>
          </w:tcPr>
          <w:p>
            <w:pPr>
              <w:pStyle w:val="Normal"/>
              <w:spacing w:before="60" w:after="60"/>
              <w:jc w:val="both"/>
              <w:rPr>
                <w:sz w:val="20"/>
              </w:rPr>
            </w:pPr>
            <w:r>
              <w:rPr>
                <w:sz w:val="20"/>
              </w:rPr>
              <w:t>Elizabeth Sager, Harlan Murphy</w:t>
            </w:r>
          </w:p>
        </w:tc>
        <w:tc>
          <w:tcPr>
            <w:tcW w:w="1440" w:type="dxa"/>
            <w:tcBorders/>
          </w:tcPr>
          <w:p>
            <w:pPr>
              <w:pStyle w:val="Normal"/>
              <w:spacing w:before="60" w:after="60"/>
              <w:jc w:val="both"/>
              <w:rPr>
                <w:b/>
                <w:sz w:val="20"/>
              </w:rPr>
            </w:pPr>
            <w:r>
              <w:rPr>
                <w:b/>
                <w:sz w:val="20"/>
              </w:rPr>
              <w:t>DEPT:</w:t>
            </w:r>
          </w:p>
        </w:tc>
        <w:tc>
          <w:tcPr>
            <w:tcW w:w="1800" w:type="dxa"/>
            <w:gridSpan w:val="2"/>
            <w:tcBorders/>
          </w:tcPr>
          <w:p>
            <w:pPr>
              <w:pStyle w:val="Normal"/>
              <w:spacing w:before="60" w:after="60"/>
              <w:jc w:val="both"/>
              <w:rPr>
                <w:sz w:val="20"/>
              </w:rPr>
            </w:pPr>
            <w:r>
              <w:rPr>
                <w:sz w:val="20"/>
              </w:rPr>
              <w:t>ENA – Legal</w:t>
            </w:r>
          </w:p>
          <w:p>
            <w:pPr>
              <w:pStyle w:val="Normal"/>
              <w:spacing w:before="60" w:after="60"/>
              <w:jc w:val="both"/>
              <w:rPr>
                <w:sz w:val="20"/>
              </w:rPr>
            </w:pPr>
            <w:r>
              <w:rPr>
                <w:sz w:val="20"/>
              </w:rPr>
            </w:r>
          </w:p>
        </w:tc>
      </w:tr>
      <w:tr>
        <w:trPr/>
        <w:tc>
          <w:tcPr>
            <w:tcW w:w="2358" w:type="dxa"/>
            <w:gridSpan w:val="2"/>
            <w:tcBorders/>
          </w:tcPr>
          <w:p>
            <w:pPr>
              <w:pStyle w:val="Normal"/>
              <w:spacing w:before="0" w:after="120"/>
              <w:jc w:val="both"/>
              <w:rPr>
                <w:sz w:val="20"/>
              </w:rPr>
            </w:pPr>
            <w:r>
              <w:rPr>
                <w:b/>
                <w:sz w:val="20"/>
              </w:rPr>
              <w:t>SUBJECT:</w:t>
            </w:r>
          </w:p>
        </w:tc>
        <w:tc>
          <w:tcPr>
            <w:tcW w:w="7380" w:type="dxa"/>
            <w:gridSpan w:val="4"/>
            <w:tcBorders/>
          </w:tcPr>
          <w:p>
            <w:pPr>
              <w:pStyle w:val="Normal"/>
              <w:spacing w:before="0" w:after="60"/>
              <w:jc w:val="both"/>
              <w:rPr>
                <w:sz w:val="20"/>
              </w:rPr>
            </w:pPr>
            <w:r>
              <w:rPr>
                <w:sz w:val="20"/>
              </w:rPr>
              <w:t>Mandatory Setoff Language for Inclusion in all EWS Trading Contracts</w:t>
            </w:r>
          </w:p>
        </w:tc>
      </w:tr>
    </w:tbl>
    <w:p>
      <w:pPr>
        <w:pStyle w:val="Normal"/>
        <w:rPr/>
      </w:pPr>
      <w:r>
        <w:rPr/>
      </w:r>
    </w:p>
    <w:p>
      <w:pPr>
        <w:pStyle w:val="Heading5"/>
        <w:numPr>
          <w:ilvl w:val="0"/>
          <w:numId w:val="2"/>
        </w:numPr>
        <w:tabs>
          <w:tab w:val="clear" w:pos="720"/>
          <w:tab w:val="left" w:pos="0" w:leader="none"/>
        </w:tabs>
        <w:ind w:hanging="0" w:start="0" w:end="-180"/>
        <w:rPr>
          <w:b w:val="false"/>
          <w:bCs w:val="false"/>
          <w:sz w:val="20"/>
        </w:rPr>
      </w:pPr>
      <w:r>
        <w:rPr>
          <w:sz w:val="20"/>
        </w:rPr>
        <w:t xml:space="preserve">Overview </w:t>
      </w:r>
    </w:p>
    <w:p>
      <w:pPr>
        <w:pStyle w:val="Heading5"/>
        <w:ind w:firstLine="720" w:start="0" w:end="-180"/>
        <w:rPr>
          <w:b w:val="false"/>
          <w:bCs w:val="false"/>
          <w:sz w:val="20"/>
        </w:rPr>
      </w:pPr>
      <w:r>
        <w:rPr>
          <w:b w:val="false"/>
          <w:bCs w:val="false"/>
          <w:sz w:val="20"/>
        </w:rPr>
      </w:r>
    </w:p>
    <w:p>
      <w:pPr>
        <w:pStyle w:val="Heading5"/>
        <w:ind w:firstLine="720" w:start="0" w:end="-180"/>
        <w:rPr>
          <w:b w:val="false"/>
          <w:bCs w:val="false"/>
          <w:sz w:val="20"/>
        </w:rPr>
      </w:pPr>
      <w:r>
        <w:rPr>
          <w:b w:val="false"/>
          <w:bCs w:val="false"/>
          <w:sz w:val="20"/>
        </w:rPr>
        <w:t xml:space="preserve">Last month you received a memo from Mark Haedicke requiring that the attached setoff language be included in all EWS form trading contracts.  This memo explains (i) what that language is designed to accomplish, and (ii) how it mitigates risks to both parties to help explain EWS’s position to the agreement in a mutually beneficial manner.  You may distribute this memo to counterparties. </w:t>
      </w:r>
    </w:p>
    <w:p>
      <w:pPr>
        <w:pStyle w:val="FootnoteText"/>
        <w:rPr>
          <w:b/>
          <w:bCs/>
          <w:sz w:val="20"/>
        </w:rPr>
      </w:pPr>
      <w:r>
        <w:rPr>
          <w:b/>
          <w:bCs/>
          <w:sz w:val="20"/>
        </w:rPr>
      </w:r>
    </w:p>
    <w:p>
      <w:pPr>
        <w:pStyle w:val="FootnoteText"/>
        <w:rPr/>
      </w:pPr>
      <w:r>
        <w:rPr/>
      </w:r>
    </w:p>
    <w:p>
      <w:pPr>
        <w:pStyle w:val="Heading8"/>
        <w:ind w:hanging="0" w:end="0"/>
        <w:jc w:val="both"/>
        <w:rPr/>
      </w:pPr>
      <w:r>
        <w:rPr/>
        <w:t>II.</w:t>
        <w:tab/>
        <w:t xml:space="preserve">What it Says </w:t>
      </w:r>
    </w:p>
    <w:p>
      <w:pPr>
        <w:pStyle w:val="Heading8"/>
        <w:ind w:hanging="0" w:end="0"/>
        <w:jc w:val="both"/>
        <w:rPr/>
      </w:pPr>
      <w:r>
        <w:rPr/>
        <w:t xml:space="preserve"> </w:t>
      </w:r>
    </w:p>
    <w:p>
      <w:pPr>
        <w:pStyle w:val="Normal"/>
        <w:numPr>
          <w:ilvl w:val="0"/>
          <w:numId w:val="4"/>
        </w:numPr>
        <w:tabs>
          <w:tab w:val="clear" w:pos="720"/>
          <w:tab w:val="left" w:pos="360" w:leader="none"/>
        </w:tabs>
        <w:ind w:hanging="360" w:start="360" w:end="0"/>
        <w:jc w:val="both"/>
        <w:rPr>
          <w:sz w:val="20"/>
        </w:rPr>
      </w:pPr>
      <w:r>
        <w:rPr>
          <w:sz w:val="20"/>
          <w:u w:val="single"/>
        </w:rPr>
        <w:t>Triangular Setoff</w:t>
      </w:r>
      <w:r>
        <w:rPr>
          <w:sz w:val="20"/>
        </w:rPr>
        <w:t xml:space="preserve"> – After the occurrence of an Event of Default, the non-defaulting party (“NDP”) </w:t>
      </w:r>
      <w:r>
        <w:rPr>
          <w:sz w:val="20"/>
          <w:u w:val="single"/>
        </w:rPr>
        <w:t>may</w:t>
      </w:r>
      <w:r>
        <w:rPr>
          <w:sz w:val="20"/>
        </w:rPr>
        <w:t xml:space="preserve"> setoff any amounts the NDP or the NDP’s affiliates owe the defaulting party (“DP”) under this agreement or any other agreement between the DP and the NDP and/or its affiliates against amounts the DP owes the NDP or the NDP’s affiliates under this agreement or any other agreement. [Note: Triangular setoff </w:t>
      </w:r>
      <w:r>
        <w:rPr>
          <w:sz w:val="20"/>
          <w:u w:val="single"/>
        </w:rPr>
        <w:t>does not</w:t>
      </w:r>
      <w:r>
        <w:rPr>
          <w:sz w:val="20"/>
        </w:rPr>
        <w:t xml:space="preserve"> allow the NDP to setoff amounts the NDP or the NDP’s affiliates owe the DP </w:t>
      </w:r>
      <w:r>
        <w:rPr>
          <w:sz w:val="20"/>
          <w:u w:val="single"/>
        </w:rPr>
        <w:t>or the DP’s</w:t>
      </w:r>
      <w:r>
        <w:rPr>
          <w:sz w:val="20"/>
        </w:rPr>
        <w:t xml:space="preserve"> affiliates against amounts the DP </w:t>
      </w:r>
      <w:r>
        <w:rPr>
          <w:sz w:val="20"/>
          <w:u w:val="single"/>
        </w:rPr>
        <w:t>or the DP’s affiliates</w:t>
      </w:r>
      <w:r>
        <w:rPr>
          <w:sz w:val="20"/>
        </w:rPr>
        <w:t xml:space="preserve"> owe the NDP or the NDP’s affiliates.  This so-called “square” setoff is one of the objectives of the proposed Master Netting Agreement.  See the attached graphical depiction of the distinction between triangular setoff and square setoff.] </w:t>
      </w:r>
    </w:p>
    <w:p>
      <w:pPr>
        <w:pStyle w:val="Normal"/>
        <w:numPr>
          <w:ilvl w:val="0"/>
          <w:numId w:val="4"/>
        </w:numPr>
        <w:tabs>
          <w:tab w:val="clear" w:pos="720"/>
          <w:tab w:val="left" w:pos="360" w:leader="none"/>
        </w:tabs>
        <w:ind w:hanging="360" w:start="360" w:end="0"/>
        <w:jc w:val="both"/>
        <w:rPr>
          <w:sz w:val="20"/>
        </w:rPr>
      </w:pPr>
      <w:r>
        <w:rPr>
          <w:sz w:val="20"/>
          <w:u w:val="single"/>
        </w:rPr>
        <w:t>Amounts Owing</w:t>
      </w:r>
      <w:r>
        <w:rPr>
          <w:sz w:val="20"/>
        </w:rPr>
        <w:t xml:space="preserve"> – “Owe” means amounts owed or otherwise accrued and payable (regardless of whether such amounts have been invoiced), but does not include future payments.  This definition includes, for example:</w:t>
      </w:r>
    </w:p>
    <w:p>
      <w:pPr>
        <w:pStyle w:val="Normal"/>
        <w:numPr>
          <w:ilvl w:val="1"/>
          <w:numId w:val="4"/>
        </w:numPr>
        <w:tabs>
          <w:tab w:val="left" w:pos="720" w:leader="none"/>
        </w:tabs>
        <w:ind w:hanging="360" w:start="720" w:end="0"/>
        <w:jc w:val="both"/>
        <w:rPr>
          <w:sz w:val="20"/>
        </w:rPr>
      </w:pPr>
      <w:r>
        <w:rPr>
          <w:sz w:val="20"/>
        </w:rPr>
        <w:t>amounts owing for a commodity that has been delivered but for which no invoice has been sent; and</w:t>
      </w:r>
    </w:p>
    <w:p>
      <w:pPr>
        <w:pStyle w:val="Normal"/>
        <w:numPr>
          <w:ilvl w:val="1"/>
          <w:numId w:val="4"/>
        </w:numPr>
        <w:tabs>
          <w:tab w:val="left" w:pos="720" w:leader="none"/>
        </w:tabs>
        <w:ind w:hanging="360" w:start="720" w:end="0"/>
        <w:jc w:val="both"/>
        <w:rPr>
          <w:sz w:val="20"/>
        </w:rPr>
      </w:pPr>
      <w:r>
        <w:rPr>
          <w:sz w:val="20"/>
        </w:rPr>
        <w:t xml:space="preserve">early termination payments, assuming such payments are due pursuant to the terms of the applicable agreement. </w:t>
      </w:r>
    </w:p>
    <w:p>
      <w:pPr>
        <w:pStyle w:val="Normal"/>
        <w:numPr>
          <w:ilvl w:val="0"/>
          <w:numId w:val="4"/>
        </w:numPr>
        <w:tabs>
          <w:tab w:val="clear" w:pos="720"/>
          <w:tab w:val="left" w:pos="360" w:leader="none"/>
        </w:tabs>
        <w:ind w:hanging="360" w:start="360" w:end="0"/>
        <w:jc w:val="both"/>
        <w:rPr>
          <w:sz w:val="20"/>
        </w:rPr>
      </w:pPr>
      <w:r>
        <w:rPr>
          <w:sz w:val="20"/>
          <w:u w:val="single"/>
        </w:rPr>
        <w:t>Satisfaction</w:t>
      </w:r>
      <w:r>
        <w:rPr>
          <w:sz w:val="20"/>
        </w:rPr>
        <w:t xml:space="preserve"> - The obligations of the NDP and the DP are satisfied to the extent of any offset.</w:t>
      </w:r>
    </w:p>
    <w:p>
      <w:pPr>
        <w:pStyle w:val="Normal"/>
        <w:numPr>
          <w:ilvl w:val="0"/>
          <w:numId w:val="4"/>
        </w:numPr>
        <w:tabs>
          <w:tab w:val="clear" w:pos="720"/>
          <w:tab w:val="left" w:pos="360" w:leader="none"/>
        </w:tabs>
        <w:ind w:hanging="360" w:start="360" w:end="0"/>
        <w:jc w:val="both"/>
        <w:rPr>
          <w:sz w:val="20"/>
        </w:rPr>
      </w:pPr>
      <w:r>
        <w:rPr>
          <w:sz w:val="20"/>
          <w:u w:val="single"/>
        </w:rPr>
        <w:t>Notice</w:t>
      </w:r>
      <w:r>
        <w:rPr>
          <w:sz w:val="20"/>
        </w:rPr>
        <w:t xml:space="preserve"> – The NDP notifies the DP </w:t>
      </w:r>
      <w:r>
        <w:rPr>
          <w:sz w:val="20"/>
          <w:u w:val="single"/>
        </w:rPr>
        <w:t>after</w:t>
      </w:r>
      <w:r>
        <w:rPr>
          <w:sz w:val="20"/>
        </w:rPr>
        <w:t xml:space="preserve"> the setoff is effected. [Note: The setoff is effected merely by making the appropriate internal bookkeeping entries, even in a bankruptcy.]</w:t>
      </w:r>
    </w:p>
    <w:p>
      <w:pPr>
        <w:pStyle w:val="Normal"/>
        <w:numPr>
          <w:ilvl w:val="0"/>
          <w:numId w:val="4"/>
        </w:numPr>
        <w:tabs>
          <w:tab w:val="clear" w:pos="720"/>
          <w:tab w:val="left" w:pos="360" w:leader="none"/>
        </w:tabs>
        <w:ind w:hanging="360" w:start="360" w:end="0"/>
        <w:jc w:val="both"/>
        <w:rPr>
          <w:sz w:val="20"/>
        </w:rPr>
      </w:pPr>
      <w:r>
        <w:rPr>
          <w:sz w:val="20"/>
          <w:u w:val="single"/>
        </w:rPr>
        <w:t>Currency Conversion/Estimates</w:t>
      </w:r>
      <w:r>
        <w:rPr>
          <w:sz w:val="20"/>
        </w:rPr>
        <w:t xml:space="preserve"> – The NDP will (i) convert any amounts setoff at a reasonable exchange rate and in good faith, and (ii) estimate the amount of any unascertainable obligation in good faith. </w:t>
      </w:r>
    </w:p>
    <w:p>
      <w:pPr>
        <w:pStyle w:val="Normal"/>
        <w:numPr>
          <w:ilvl w:val="0"/>
          <w:numId w:val="4"/>
        </w:numPr>
        <w:tabs>
          <w:tab w:val="clear" w:pos="720"/>
          <w:tab w:val="left" w:pos="360" w:leader="none"/>
        </w:tabs>
        <w:ind w:hanging="360" w:start="360" w:end="0"/>
        <w:jc w:val="both"/>
        <w:rPr>
          <w:sz w:val="20"/>
        </w:rPr>
      </w:pPr>
      <w:r>
        <w:rPr>
          <w:sz w:val="20"/>
          <w:u w:val="single"/>
        </w:rPr>
        <w:t>No Security Interest/Monthly Netting, etc. Not Diminished</w:t>
      </w:r>
      <w:r>
        <w:rPr>
          <w:sz w:val="20"/>
        </w:rPr>
        <w:t xml:space="preserve"> – The setoff language does not (i) create a security interest except as provided by law (</w:t>
      </w:r>
      <w:r>
        <w:rPr>
          <w:i/>
          <w:iCs/>
          <w:sz w:val="20"/>
        </w:rPr>
        <w:t>e.g.,</w:t>
      </w:r>
      <w:r>
        <w:rPr>
          <w:sz w:val="20"/>
        </w:rPr>
        <w:t xml:space="preserve"> setoff rights in bankruptcy may be considered a “security interest”), or (ii) prejudice any similar rights, such as netting.  </w:t>
      </w:r>
    </w:p>
    <w:p>
      <w:pPr>
        <w:pStyle w:val="Normal"/>
        <w:numPr>
          <w:ilvl w:val="0"/>
          <w:numId w:val="4"/>
        </w:numPr>
        <w:tabs>
          <w:tab w:val="clear" w:pos="720"/>
          <w:tab w:val="left" w:pos="360" w:leader="none"/>
        </w:tabs>
        <w:ind w:hanging="360" w:start="360" w:end="0"/>
        <w:jc w:val="both"/>
        <w:rPr>
          <w:sz w:val="20"/>
        </w:rPr>
      </w:pPr>
      <w:r>
        <w:rPr>
          <w:sz w:val="20"/>
          <w:u w:val="single"/>
        </w:rPr>
        <w:t>Reliance</w:t>
      </w:r>
      <w:r>
        <w:rPr>
          <w:sz w:val="20"/>
        </w:rPr>
        <w:t xml:space="preserve"> – The parties are entering into transactions in reliance on this provision and it is an integral part of the agreement.</w:t>
      </w:r>
    </w:p>
    <w:p>
      <w:pPr>
        <w:pStyle w:val="Normal"/>
        <w:numPr>
          <w:ilvl w:val="0"/>
          <w:numId w:val="4"/>
        </w:numPr>
        <w:tabs>
          <w:tab w:val="clear" w:pos="720"/>
          <w:tab w:val="left" w:pos="360" w:leader="none"/>
        </w:tabs>
        <w:ind w:hanging="360" w:start="360" w:end="0"/>
        <w:jc w:val="both"/>
        <w:rPr>
          <w:sz w:val="20"/>
        </w:rPr>
      </w:pPr>
      <w:r>
        <w:rPr>
          <w:sz w:val="20"/>
          <w:u w:val="single"/>
        </w:rPr>
        <w:t>Binding Effect on Affiliates</w:t>
      </w:r>
      <w:r>
        <w:rPr>
          <w:sz w:val="20"/>
        </w:rPr>
        <w:t xml:space="preserve"> – Each party is executing the agreement on behalf of itself as principal, and with respect to this setoff language, its affiliates, which affiliates shall receive the benefits and be bound as if they had signed the agreement.  </w:t>
      </w:r>
    </w:p>
    <w:p>
      <w:pPr>
        <w:pStyle w:val="Normal"/>
        <w:numPr>
          <w:ilvl w:val="0"/>
          <w:numId w:val="4"/>
        </w:numPr>
        <w:tabs>
          <w:tab w:val="clear" w:pos="720"/>
          <w:tab w:val="left" w:pos="360" w:leader="none"/>
        </w:tabs>
        <w:ind w:hanging="360" w:start="360" w:end="0"/>
        <w:jc w:val="both"/>
        <w:rPr>
          <w:sz w:val="20"/>
        </w:rPr>
      </w:pPr>
      <w:r>
        <w:rPr>
          <w:sz w:val="20"/>
          <w:u w:val="single"/>
        </w:rPr>
        <w:t>NDP Protection</w:t>
      </w:r>
      <w:r>
        <w:rPr>
          <w:sz w:val="20"/>
        </w:rPr>
        <w:t xml:space="preserve"> - The NDP does not have to pay the DP pursuant to this setoff language until the NDP is reasonably certain that all other obligations of the DP to pay the NDP or the NDP’s affiliates any amounts owing as of the early termination date under this or any other agreement have been fully satisfied.</w:t>
      </w:r>
    </w:p>
    <w:p>
      <w:pPr>
        <w:pStyle w:val="Normal"/>
        <w:ind w:firstLine="360" w:end="0"/>
        <w:rPr>
          <w:b/>
          <w:bCs/>
          <w:sz w:val="20"/>
        </w:rPr>
      </w:pPr>
      <w:r>
        <w:rPr>
          <w:b/>
          <w:bCs/>
          <w:sz w:val="20"/>
        </w:rPr>
      </w:r>
    </w:p>
    <w:p>
      <w:pPr>
        <w:pStyle w:val="Heading9"/>
        <w:ind w:hanging="0" w:start="0"/>
        <w:rPr/>
      </w:pPr>
      <w:r>
        <w:rPr/>
        <w:t>III.</w:t>
        <w:tab/>
        <w:t xml:space="preserve">Example of Risk Mitigated </w:t>
      </w:r>
    </w:p>
    <w:p>
      <w:pPr>
        <w:pStyle w:val="Normal"/>
        <w:numPr>
          <w:ilvl w:val="1"/>
          <w:numId w:val="5"/>
        </w:numPr>
        <w:tabs>
          <w:tab w:val="clear" w:pos="720"/>
          <w:tab w:val="left" w:pos="360" w:leader="none"/>
        </w:tabs>
        <w:spacing w:before="240" w:after="0"/>
        <w:ind w:hanging="360" w:start="360" w:end="0"/>
        <w:jc w:val="both"/>
        <w:rPr>
          <w:sz w:val="20"/>
        </w:rPr>
      </w:pPr>
      <w:r>
        <w:rPr>
          <w:sz w:val="20"/>
        </w:rPr>
        <w:t xml:space="preserve">Counterparty Corporation (“CP”), through various subsidiaries, enters into transactions with various Enron subsidiaries pursuant to which the subsidiaries of the two parent companies trade gas, power and bandwidth and enter into swap transactions.  All told, this trading relationship involves four different master agreements, three CP entities, and three Enron entities.  For the purposes of this hypothetical, all three agreements are forward contracts under the Bankruptcy Code, all of the transactions under them are qualifying transactions as defined in the Bankruptcy Code, and all of the parties to those agreements are forward contract merchants.  </w:t>
      </w:r>
    </w:p>
    <w:p>
      <w:pPr>
        <w:pStyle w:val="Normal"/>
        <w:numPr>
          <w:ilvl w:val="1"/>
          <w:numId w:val="5"/>
        </w:numPr>
        <w:tabs>
          <w:tab w:val="clear" w:pos="720"/>
          <w:tab w:val="left" w:pos="360" w:leader="none"/>
        </w:tabs>
        <w:spacing w:before="240" w:after="0"/>
        <w:ind w:hanging="360" w:start="360" w:end="0"/>
        <w:jc w:val="both"/>
        <w:rPr>
          <w:sz w:val="20"/>
        </w:rPr>
      </w:pPr>
      <w:r>
        <w:rPr>
          <w:sz w:val="20"/>
        </w:rPr>
        <w:t>ENA goes bankrupt, which is an event of default under the ISDA Master and the Enfolio Gas Master with CP Trading Co.</w:t>
      </w:r>
    </w:p>
    <w:p>
      <w:pPr>
        <w:pStyle w:val="Normal"/>
        <w:numPr>
          <w:ilvl w:val="0"/>
          <w:numId w:val="3"/>
        </w:numPr>
        <w:tabs>
          <w:tab w:val="clear" w:pos="720"/>
          <w:tab w:val="left" w:pos="360" w:leader="none"/>
        </w:tabs>
        <w:spacing w:before="240" w:after="0"/>
        <w:ind w:hanging="360" w:start="360" w:end="0"/>
        <w:jc w:val="both"/>
        <w:rPr>
          <w:sz w:val="20"/>
        </w:rPr>
      </w:pPr>
      <w:r>
        <w:rPr>
          <w:sz w:val="20"/>
        </w:rPr>
        <w:t xml:space="preserve">The amounts owed to and by the CP subsidiaries are as follows: </w:t>
      </w:r>
    </w:p>
    <w:p>
      <w:pPr>
        <w:pStyle w:val="Normal"/>
        <w:keepNext w:val="true"/>
        <w:tabs>
          <w:tab w:val="clear" w:pos="720"/>
          <w:tab w:val="left" w:pos="2340" w:leader="none"/>
          <w:tab w:val="left" w:pos="5400" w:leader="none"/>
          <w:tab w:val="left" w:pos="7320" w:leader="none"/>
        </w:tabs>
        <w:ind w:start="1440" w:end="0"/>
        <w:jc w:val="both"/>
        <w:rPr/>
      </w:pPr>
      <w:r>
        <w:rPr/>
        <w:tab/>
      </w:r>
    </w:p>
    <w:tbl>
      <w:tblPr>
        <w:tblW w:w="9198" w:type="dxa"/>
        <w:jc w:val="start"/>
        <w:tblInd w:w="378" w:type="dxa"/>
        <w:tblLayout w:type="fixed"/>
        <w:tblCellMar>
          <w:top w:w="0" w:type="dxa"/>
          <w:start w:w="108" w:type="dxa"/>
          <w:bottom w:w="0" w:type="dxa"/>
          <w:end w:w="108" w:type="dxa"/>
        </w:tblCellMar>
      </w:tblPr>
      <w:tblGrid>
        <w:gridCol w:w="2700"/>
        <w:gridCol w:w="2520"/>
        <w:gridCol w:w="1890"/>
        <w:gridCol w:w="2088"/>
      </w:tblGrid>
      <w:tr>
        <w:trPr/>
        <w:tc>
          <w:tcPr>
            <w:tcW w:w="2700" w:type="dxa"/>
            <w:tcBorders/>
          </w:tcPr>
          <w:p>
            <w:pPr>
              <w:pStyle w:val="Normal"/>
              <w:jc w:val="both"/>
              <w:rPr>
                <w:sz w:val="20"/>
                <w:u w:val="single"/>
              </w:rPr>
            </w:pPr>
            <w:r>
              <w:rPr>
                <w:sz w:val="20"/>
                <w:u w:val="single"/>
              </w:rPr>
              <w:t>Type of Agreement</w:t>
            </w:r>
          </w:p>
        </w:tc>
        <w:tc>
          <w:tcPr>
            <w:tcW w:w="2520" w:type="dxa"/>
            <w:tcBorders/>
          </w:tcPr>
          <w:p>
            <w:pPr>
              <w:pStyle w:val="Normal"/>
              <w:jc w:val="both"/>
              <w:rPr>
                <w:sz w:val="20"/>
                <w:u w:val="single"/>
              </w:rPr>
            </w:pPr>
            <w:r>
              <w:rPr>
                <w:sz w:val="20"/>
                <w:u w:val="single"/>
              </w:rPr>
              <w:t>Parties to Agreement</w:t>
            </w:r>
          </w:p>
        </w:tc>
        <w:tc>
          <w:tcPr>
            <w:tcW w:w="1890" w:type="dxa"/>
            <w:tcBorders/>
          </w:tcPr>
          <w:p>
            <w:pPr>
              <w:pStyle w:val="Normal"/>
              <w:jc w:val="both"/>
              <w:rPr>
                <w:sz w:val="20"/>
                <w:u w:val="single"/>
              </w:rPr>
            </w:pPr>
            <w:r>
              <w:rPr>
                <w:sz w:val="20"/>
                <w:u w:val="single"/>
              </w:rPr>
              <w:t>Amount CP Owes</w:t>
            </w:r>
          </w:p>
        </w:tc>
        <w:tc>
          <w:tcPr>
            <w:tcW w:w="2088" w:type="dxa"/>
            <w:tcBorders/>
          </w:tcPr>
          <w:p>
            <w:pPr>
              <w:pStyle w:val="Normal"/>
              <w:jc w:val="both"/>
              <w:rPr>
                <w:sz w:val="20"/>
                <w:u w:val="single"/>
              </w:rPr>
            </w:pPr>
            <w:r>
              <w:rPr>
                <w:sz w:val="20"/>
                <w:u w:val="single"/>
              </w:rPr>
              <w:t>Amount CP is Owed</w:t>
            </w:r>
          </w:p>
        </w:tc>
      </w:tr>
      <w:tr>
        <w:trPr/>
        <w:tc>
          <w:tcPr>
            <w:tcW w:w="2700" w:type="dxa"/>
            <w:tcBorders/>
          </w:tcPr>
          <w:p>
            <w:pPr>
              <w:pStyle w:val="Normal"/>
              <w:jc w:val="both"/>
              <w:rPr>
                <w:sz w:val="20"/>
              </w:rPr>
            </w:pPr>
            <w:r>
              <w:rPr>
                <w:sz w:val="20"/>
              </w:rPr>
              <w:t>ISDA Master</w:t>
            </w:r>
          </w:p>
        </w:tc>
        <w:tc>
          <w:tcPr>
            <w:tcW w:w="2520" w:type="dxa"/>
            <w:tcBorders/>
          </w:tcPr>
          <w:p>
            <w:pPr>
              <w:pStyle w:val="Normal"/>
              <w:jc w:val="both"/>
              <w:rPr>
                <w:sz w:val="20"/>
              </w:rPr>
            </w:pPr>
            <w:r>
              <w:rPr>
                <w:sz w:val="20"/>
              </w:rPr>
              <w:t>ENA-CP Pwr. Mktg. Co.</w:t>
            </w:r>
          </w:p>
        </w:tc>
        <w:tc>
          <w:tcPr>
            <w:tcW w:w="1890" w:type="dxa"/>
            <w:tcBorders/>
          </w:tcPr>
          <w:p>
            <w:pPr>
              <w:pStyle w:val="Normal"/>
              <w:snapToGrid w:val="false"/>
              <w:jc w:val="both"/>
              <w:rPr>
                <w:sz w:val="20"/>
              </w:rPr>
            </w:pPr>
            <w:r>
              <w:rPr>
                <w:sz w:val="20"/>
              </w:rPr>
            </w:r>
          </w:p>
        </w:tc>
        <w:tc>
          <w:tcPr>
            <w:tcW w:w="2088" w:type="dxa"/>
            <w:tcBorders/>
          </w:tcPr>
          <w:p>
            <w:pPr>
              <w:pStyle w:val="Normal"/>
              <w:jc w:val="both"/>
              <w:rPr>
                <w:sz w:val="20"/>
              </w:rPr>
            </w:pPr>
            <w:r>
              <w:rPr>
                <w:sz w:val="20"/>
              </w:rPr>
              <w:t>$80,000,000</w:t>
            </w:r>
          </w:p>
        </w:tc>
      </w:tr>
      <w:tr>
        <w:trPr/>
        <w:tc>
          <w:tcPr>
            <w:tcW w:w="2700" w:type="dxa"/>
            <w:tcBorders/>
          </w:tcPr>
          <w:p>
            <w:pPr>
              <w:pStyle w:val="Normal"/>
              <w:jc w:val="both"/>
              <w:rPr>
                <w:sz w:val="20"/>
              </w:rPr>
            </w:pPr>
            <w:r>
              <w:rPr>
                <w:sz w:val="20"/>
              </w:rPr>
              <w:t>Enfolio Gas Master</w:t>
            </w:r>
          </w:p>
        </w:tc>
        <w:tc>
          <w:tcPr>
            <w:tcW w:w="2520" w:type="dxa"/>
            <w:tcBorders/>
          </w:tcPr>
          <w:p>
            <w:pPr>
              <w:pStyle w:val="Normal"/>
              <w:jc w:val="both"/>
              <w:rPr>
                <w:sz w:val="20"/>
              </w:rPr>
            </w:pPr>
            <w:r>
              <w:rPr>
                <w:sz w:val="20"/>
              </w:rPr>
              <w:t>ENA-CP Trading Co.</w:t>
            </w:r>
          </w:p>
        </w:tc>
        <w:tc>
          <w:tcPr>
            <w:tcW w:w="1890" w:type="dxa"/>
            <w:tcBorders/>
          </w:tcPr>
          <w:p>
            <w:pPr>
              <w:pStyle w:val="Normal"/>
              <w:jc w:val="both"/>
              <w:rPr>
                <w:sz w:val="20"/>
              </w:rPr>
            </w:pPr>
            <w:r>
              <w:rPr>
                <w:sz w:val="20"/>
              </w:rPr>
              <w:t>$65,000,000</w:t>
            </w:r>
          </w:p>
        </w:tc>
        <w:tc>
          <w:tcPr>
            <w:tcW w:w="2088" w:type="dxa"/>
            <w:tcBorders/>
          </w:tcPr>
          <w:p>
            <w:pPr>
              <w:pStyle w:val="Normal"/>
              <w:snapToGrid w:val="false"/>
              <w:jc w:val="both"/>
              <w:rPr>
                <w:sz w:val="20"/>
              </w:rPr>
            </w:pPr>
            <w:r>
              <w:rPr>
                <w:sz w:val="20"/>
              </w:rPr>
            </w:r>
          </w:p>
          <w:p>
            <w:pPr>
              <w:pStyle w:val="Normal"/>
              <w:jc w:val="both"/>
              <w:rPr>
                <w:sz w:val="20"/>
              </w:rPr>
            </w:pPr>
            <w:r>
              <w:rPr>
                <w:sz w:val="20"/>
              </w:rPr>
            </w:r>
          </w:p>
        </w:tc>
      </w:tr>
      <w:tr>
        <w:trPr/>
        <w:tc>
          <w:tcPr>
            <w:tcW w:w="2700" w:type="dxa"/>
            <w:tcBorders/>
          </w:tcPr>
          <w:p>
            <w:pPr>
              <w:pStyle w:val="Normal"/>
              <w:jc w:val="both"/>
              <w:rPr>
                <w:sz w:val="20"/>
              </w:rPr>
            </w:pPr>
            <w:r>
              <w:rPr>
                <w:sz w:val="20"/>
              </w:rPr>
              <w:t>EEI Master</w:t>
            </w:r>
          </w:p>
        </w:tc>
        <w:tc>
          <w:tcPr>
            <w:tcW w:w="2520" w:type="dxa"/>
            <w:tcBorders/>
          </w:tcPr>
          <w:p>
            <w:pPr>
              <w:pStyle w:val="Normal"/>
              <w:jc w:val="both"/>
              <w:rPr>
                <w:sz w:val="20"/>
              </w:rPr>
            </w:pPr>
            <w:r>
              <w:rPr>
                <w:sz w:val="20"/>
              </w:rPr>
              <w:t>EPMI-CP Pwr. Mktg. Co.</w:t>
            </w:r>
          </w:p>
        </w:tc>
        <w:tc>
          <w:tcPr>
            <w:tcW w:w="1890" w:type="dxa"/>
            <w:tcBorders/>
          </w:tcPr>
          <w:p>
            <w:pPr>
              <w:pStyle w:val="Normal"/>
              <w:jc w:val="both"/>
              <w:rPr>
                <w:sz w:val="20"/>
              </w:rPr>
            </w:pPr>
            <w:r>
              <w:rPr>
                <w:sz w:val="20"/>
              </w:rPr>
              <w:t>$20,000,000</w:t>
            </w:r>
          </w:p>
        </w:tc>
        <w:tc>
          <w:tcPr>
            <w:tcW w:w="2088" w:type="dxa"/>
            <w:tcBorders/>
          </w:tcPr>
          <w:p>
            <w:pPr>
              <w:pStyle w:val="Normal"/>
              <w:snapToGrid w:val="false"/>
              <w:jc w:val="both"/>
              <w:rPr>
                <w:sz w:val="20"/>
              </w:rPr>
            </w:pPr>
            <w:r>
              <w:rPr>
                <w:sz w:val="20"/>
              </w:rPr>
            </w:r>
          </w:p>
        </w:tc>
      </w:tr>
      <w:tr>
        <w:trPr/>
        <w:tc>
          <w:tcPr>
            <w:tcW w:w="2700" w:type="dxa"/>
            <w:tcBorders/>
          </w:tcPr>
          <w:p>
            <w:pPr>
              <w:pStyle w:val="Normal"/>
              <w:jc w:val="both"/>
              <w:rPr>
                <w:sz w:val="20"/>
              </w:rPr>
            </w:pPr>
            <w:r>
              <w:rPr>
                <w:sz w:val="20"/>
              </w:rPr>
              <w:t>Bandwidth Trading Master</w:t>
            </w:r>
          </w:p>
        </w:tc>
        <w:tc>
          <w:tcPr>
            <w:tcW w:w="2520" w:type="dxa"/>
            <w:tcBorders/>
          </w:tcPr>
          <w:p>
            <w:pPr>
              <w:pStyle w:val="Normal"/>
              <w:jc w:val="both"/>
              <w:rPr>
                <w:sz w:val="20"/>
              </w:rPr>
            </w:pPr>
            <w:r>
              <w:rPr>
                <w:sz w:val="20"/>
              </w:rPr>
              <w:t>EBS-CP Broadband Co.</w:t>
            </w:r>
          </w:p>
        </w:tc>
        <w:tc>
          <w:tcPr>
            <w:tcW w:w="1890" w:type="dxa"/>
            <w:tcBorders/>
          </w:tcPr>
          <w:p>
            <w:pPr>
              <w:pStyle w:val="Normal"/>
              <w:snapToGrid w:val="false"/>
              <w:jc w:val="both"/>
              <w:rPr>
                <w:sz w:val="20"/>
              </w:rPr>
            </w:pPr>
            <w:r>
              <w:rPr>
                <w:sz w:val="20"/>
              </w:rPr>
            </w:r>
          </w:p>
        </w:tc>
        <w:tc>
          <w:tcPr>
            <w:tcW w:w="2088" w:type="dxa"/>
            <w:tcBorders/>
          </w:tcPr>
          <w:p>
            <w:pPr>
              <w:pStyle w:val="Normal"/>
              <w:jc w:val="both"/>
              <w:rPr>
                <w:sz w:val="20"/>
              </w:rPr>
            </w:pPr>
            <w:r>
              <w:rPr>
                <w:sz w:val="20"/>
              </w:rPr>
              <w:t>$15,000,000</w:t>
            </w:r>
          </w:p>
        </w:tc>
      </w:tr>
    </w:tbl>
    <w:p>
      <w:pPr>
        <w:pStyle w:val="Normal"/>
        <w:numPr>
          <w:ilvl w:val="1"/>
          <w:numId w:val="5"/>
        </w:numPr>
        <w:tabs>
          <w:tab w:val="clear" w:pos="720"/>
          <w:tab w:val="left" w:pos="360" w:leader="none"/>
        </w:tabs>
        <w:spacing w:before="240" w:after="0"/>
        <w:ind w:hanging="360" w:start="360" w:end="0"/>
        <w:jc w:val="both"/>
        <w:rPr>
          <w:sz w:val="20"/>
        </w:rPr>
      </w:pPr>
      <w:r>
        <w:rPr>
          <w:sz w:val="20"/>
          <w:u w:val="single"/>
        </w:rPr>
        <w:t>CP’s Possible Aggregate Exposure Without Setoff Language</w:t>
      </w:r>
      <w:r>
        <w:rPr>
          <w:sz w:val="20"/>
        </w:rPr>
        <w:t xml:space="preserve">: </w:t>
      </w:r>
    </w:p>
    <w:p>
      <w:pPr>
        <w:pStyle w:val="Normal"/>
        <w:numPr>
          <w:ilvl w:val="2"/>
          <w:numId w:val="5"/>
        </w:numPr>
        <w:tabs>
          <w:tab w:val="left" w:pos="720" w:leader="none"/>
        </w:tabs>
        <w:spacing w:before="240" w:after="0"/>
        <w:ind w:hanging="360" w:start="720" w:end="0"/>
        <w:jc w:val="both"/>
        <w:rPr>
          <w:sz w:val="20"/>
        </w:rPr>
      </w:pPr>
      <w:r>
        <w:rPr>
          <w:sz w:val="20"/>
        </w:rPr>
        <w:t>CP Power Marketing Co. is left with an unsecured claim in ENA’s bankruptcy for $80,000,000 under the ISDA Master.</w:t>
      </w:r>
    </w:p>
    <w:p>
      <w:pPr>
        <w:pStyle w:val="Normal"/>
        <w:numPr>
          <w:ilvl w:val="2"/>
          <w:numId w:val="5"/>
        </w:numPr>
        <w:tabs>
          <w:tab w:val="left" w:pos="720" w:leader="none"/>
        </w:tabs>
        <w:spacing w:before="240" w:after="0"/>
        <w:ind w:hanging="1980" w:start="2340" w:end="0"/>
        <w:jc w:val="both"/>
        <w:rPr>
          <w:sz w:val="20"/>
        </w:rPr>
      </w:pPr>
      <w:r>
        <w:rPr>
          <w:sz w:val="20"/>
        </w:rPr>
        <w:t xml:space="preserve">CP Trading Co. has to pay ENA $65,000,000 under the Enfolio Gas Master. </w:t>
      </w:r>
    </w:p>
    <w:p>
      <w:pPr>
        <w:pStyle w:val="Normal"/>
        <w:numPr>
          <w:ilvl w:val="1"/>
          <w:numId w:val="5"/>
        </w:numPr>
        <w:tabs>
          <w:tab w:val="clear" w:pos="720"/>
          <w:tab w:val="left" w:pos="360" w:leader="none"/>
        </w:tabs>
        <w:spacing w:before="240" w:after="0"/>
        <w:ind w:hanging="360" w:start="360" w:end="0"/>
        <w:jc w:val="both"/>
        <w:rPr>
          <w:b/>
          <w:bCs/>
          <w:i/>
          <w:i/>
          <w:iCs/>
          <w:sz w:val="20"/>
        </w:rPr>
      </w:pPr>
      <w:r>
        <w:rPr>
          <w:sz w:val="20"/>
          <w:u w:val="single"/>
        </w:rPr>
        <w:t>CP’s Likely Aggregate Exposure With Setoff Language</w:t>
      </w:r>
      <w:r>
        <w:rPr>
          <w:sz w:val="20"/>
        </w:rPr>
        <w:t xml:space="preserve">:  </w:t>
      </w:r>
    </w:p>
    <w:p>
      <w:pPr>
        <w:pStyle w:val="Normal"/>
        <w:numPr>
          <w:ilvl w:val="2"/>
          <w:numId w:val="5"/>
        </w:numPr>
        <w:tabs>
          <w:tab w:val="left" w:pos="720" w:leader="none"/>
        </w:tabs>
        <w:spacing w:before="240" w:after="0"/>
        <w:ind w:hanging="360" w:start="720" w:end="0"/>
        <w:jc w:val="both"/>
        <w:rPr>
          <w:b/>
          <w:bCs/>
          <w:i/>
          <w:i/>
          <w:iCs/>
          <w:sz w:val="20"/>
        </w:rPr>
      </w:pPr>
      <w:r>
        <w:rPr>
          <w:sz w:val="20"/>
        </w:rPr>
        <w:t>CP has the right to set off the $65,000,000 that CP Trading Co. owes ENA against the $80,000,000 ENA owes CP Power Marketing Co. under the ISDA</w:t>
      </w:r>
      <w:r>
        <w:rPr>
          <w:rStyle w:val="FootnoteCharacters"/>
          <w:rStyle w:val="FootnoteReference"/>
          <w:sz w:val="20"/>
        </w:rPr>
        <w:footnoteReference w:id="2"/>
      </w:r>
      <w:r>
        <w:rPr>
          <w:sz w:val="20"/>
        </w:rPr>
        <w:t xml:space="preserve">. </w:t>
      </w:r>
    </w:p>
    <w:p>
      <w:pPr>
        <w:pStyle w:val="Normal"/>
        <w:numPr>
          <w:ilvl w:val="2"/>
          <w:numId w:val="5"/>
        </w:numPr>
        <w:tabs>
          <w:tab w:val="left" w:pos="720" w:leader="none"/>
        </w:tabs>
        <w:spacing w:before="240" w:after="0"/>
        <w:ind w:hanging="360" w:start="720" w:end="0"/>
        <w:jc w:val="both"/>
        <w:rPr>
          <w:b/>
          <w:bCs/>
          <w:i/>
          <w:i/>
          <w:iCs/>
          <w:sz w:val="20"/>
        </w:rPr>
      </w:pPr>
      <w:r>
        <w:rPr>
          <w:sz w:val="20"/>
        </w:rPr>
        <w:t>CP Power Marketing Co. is left with an unsecured claim in ENA’s bankruptcy for $15,000,000, rather than $80,000,000.</w:t>
      </w:r>
    </w:p>
    <w:p>
      <w:pPr>
        <w:pStyle w:val="Normal"/>
        <w:numPr>
          <w:ilvl w:val="2"/>
          <w:numId w:val="5"/>
        </w:numPr>
        <w:tabs>
          <w:tab w:val="left" w:pos="720" w:leader="none"/>
        </w:tabs>
        <w:spacing w:before="240" w:after="0"/>
        <w:ind w:hanging="360" w:start="720" w:end="0"/>
        <w:jc w:val="both"/>
        <w:rPr>
          <w:b/>
          <w:bCs/>
          <w:i/>
          <w:i/>
          <w:iCs/>
          <w:sz w:val="20"/>
        </w:rPr>
      </w:pPr>
      <w:r>
        <w:rPr>
          <w:sz w:val="20"/>
        </w:rPr>
        <w:t>CP Power Marketing Co.’s $65,000,000 setoff becomes a secured claim in ENA’s bankruptcy proceeding.</w:t>
      </w:r>
    </w:p>
    <w:p>
      <w:pPr>
        <w:pStyle w:val="Normal"/>
        <w:numPr>
          <w:ilvl w:val="2"/>
          <w:numId w:val="5"/>
        </w:numPr>
        <w:tabs>
          <w:tab w:val="left" w:pos="720" w:leader="none"/>
        </w:tabs>
        <w:spacing w:before="240" w:after="0"/>
        <w:ind w:hanging="360" w:start="720" w:end="0"/>
        <w:jc w:val="both"/>
        <w:rPr>
          <w:b/>
          <w:bCs/>
          <w:i/>
          <w:i/>
          <w:iCs/>
          <w:sz w:val="20"/>
        </w:rPr>
      </w:pPr>
      <w:r>
        <w:rPr>
          <w:sz w:val="20"/>
        </w:rPr>
        <w:t>CP Power Marketing Co.’s setoff would be exempt from the automatic stay because the setoff is for the settlement of a payment arising from forward contracts among forward contract merchants.</w:t>
      </w:r>
    </w:p>
    <w:p>
      <w:pPr>
        <w:pStyle w:val="Normal"/>
        <w:tabs>
          <w:tab w:val="clear" w:pos="720"/>
          <w:tab w:val="left" w:pos="1170" w:leader="none"/>
          <w:tab w:val="left" w:pos="9360" w:leader="none"/>
        </w:tabs>
        <w:autoSpaceDE w:val="false"/>
        <w:jc w:val="both"/>
        <w:rPr>
          <w:b/>
          <w:bCs/>
          <w:i/>
          <w:i/>
          <w:iCs/>
          <w:sz w:val="20"/>
          <w:szCs w:val="24"/>
        </w:rPr>
      </w:pPr>
      <w:r>
        <w:rPr>
          <w:b/>
          <w:bCs/>
          <w:i/>
          <w:iCs/>
          <w:sz w:val="20"/>
          <w:szCs w:val="24"/>
        </w:rPr>
      </w:r>
    </w:p>
    <w:p>
      <w:pPr>
        <w:pStyle w:val="Normal"/>
        <w:tabs>
          <w:tab w:val="clear" w:pos="720"/>
          <w:tab w:val="left" w:pos="1170" w:leader="none"/>
          <w:tab w:val="left" w:pos="9360" w:leader="none"/>
        </w:tabs>
        <w:autoSpaceDE w:val="false"/>
        <w:jc w:val="both"/>
        <w:rPr>
          <w:b/>
          <w:bCs/>
          <w:sz w:val="20"/>
          <w:szCs w:val="24"/>
        </w:rPr>
      </w:pPr>
      <w:r>
        <w:rPr>
          <w:b/>
          <w:bCs/>
          <w:sz w:val="20"/>
          <w:szCs w:val="24"/>
        </w:rPr>
      </w:r>
    </w:p>
    <w:p>
      <w:pPr>
        <w:pStyle w:val="Normal"/>
        <w:tabs>
          <w:tab w:val="clear" w:pos="720"/>
          <w:tab w:val="left" w:pos="360" w:leader="none"/>
          <w:tab w:val="left" w:pos="9360" w:leader="none"/>
        </w:tabs>
        <w:autoSpaceDE w:val="false"/>
        <w:jc w:val="both"/>
        <w:rPr>
          <w:sz w:val="20"/>
        </w:rPr>
      </w:pPr>
      <w:r>
        <w:rPr>
          <w:b/>
          <w:bCs/>
          <w:sz w:val="20"/>
        </w:rPr>
        <w:t>IV.</w:t>
        <w:tab/>
        <w:t xml:space="preserve">Conclusion </w:t>
      </w:r>
    </w:p>
    <w:p>
      <w:pPr>
        <w:pStyle w:val="Normal"/>
        <w:tabs>
          <w:tab w:val="clear" w:pos="720"/>
          <w:tab w:val="left" w:pos="360" w:leader="none"/>
          <w:tab w:val="left" w:pos="9360" w:leader="none"/>
        </w:tabs>
        <w:autoSpaceDE w:val="false"/>
        <w:jc w:val="both"/>
        <w:rPr>
          <w:sz w:val="20"/>
          <w:szCs w:val="24"/>
        </w:rPr>
      </w:pPr>
      <w:r>
        <w:rPr>
          <w:sz w:val="20"/>
          <w:szCs w:val="24"/>
        </w:rPr>
      </w:r>
    </w:p>
    <w:p>
      <w:pPr>
        <w:pStyle w:val="BodyText2"/>
        <w:rPr>
          <w:b/>
          <w:bCs/>
          <w:sz w:val="20"/>
          <w:u w:val="single"/>
        </w:rPr>
      </w:pPr>
      <w:r>
        <w:rPr>
          <w:sz w:val="20"/>
        </w:rPr>
        <w:tab/>
        <w:t>This memo is a very simplistic overview of a subject that has many complex ramifications in bankruptcy law.  Please contact Elizabeth Sager at 713.853.6349 or Harlan Murphy at 713.345.2679 with any questions.</w:t>
      </w:r>
      <w:r>
        <w:br w:type="page"/>
      </w:r>
    </w:p>
    <w:p>
      <w:pPr>
        <w:pStyle w:val="Normal"/>
        <w:tabs>
          <w:tab w:val="clear" w:pos="720"/>
          <w:tab w:val="left" w:pos="1170" w:leader="none"/>
          <w:tab w:val="left" w:pos="9360" w:leader="none"/>
        </w:tabs>
        <w:autoSpaceDE w:val="false"/>
        <w:jc w:val="center"/>
        <w:rPr>
          <w:b/>
          <w:bCs/>
          <w:sz w:val="22"/>
          <w:szCs w:val="24"/>
          <w:u w:val="single"/>
        </w:rPr>
      </w:pPr>
      <w:r>
        <w:rPr>
          <w:b/>
          <w:bCs/>
          <w:sz w:val="22"/>
          <w:szCs w:val="24"/>
          <w:u w:val="single"/>
        </w:rPr>
        <w:t>MANDATORY SETOFF LANGUAGE FOR</w:t>
      </w:r>
    </w:p>
    <w:p>
      <w:pPr>
        <w:pStyle w:val="Heading7"/>
        <w:tabs>
          <w:tab w:val="left" w:pos="1170" w:leader="none"/>
          <w:tab w:val="left" w:pos="9360" w:leader="none"/>
        </w:tabs>
        <w:ind w:start="0" w:end="0"/>
        <w:jc w:val="center"/>
        <w:rPr>
          <w:sz w:val="22"/>
          <w:szCs w:val="28"/>
        </w:rPr>
      </w:pPr>
      <w:r>
        <w:rPr>
          <w:sz w:val="22"/>
        </w:rPr>
        <w:t>EWS TRADING CONTRACTS</w:t>
      </w:r>
    </w:p>
    <w:p>
      <w:pPr>
        <w:pStyle w:val="Normal"/>
        <w:tabs>
          <w:tab w:val="clear" w:pos="720"/>
          <w:tab w:val="left" w:pos="1170" w:leader="none"/>
          <w:tab w:val="left" w:pos="9360" w:leader="none"/>
        </w:tabs>
        <w:autoSpaceDE w:val="false"/>
        <w:jc w:val="both"/>
        <w:rPr>
          <w:b/>
          <w:bCs/>
          <w:sz w:val="22"/>
          <w:szCs w:val="24"/>
        </w:rPr>
      </w:pPr>
      <w:r>
        <w:rPr>
          <w:b/>
          <w:bCs/>
          <w:sz w:val="22"/>
          <w:szCs w:val="24"/>
        </w:rPr>
      </w:r>
    </w:p>
    <w:p>
      <w:pPr>
        <w:pStyle w:val="Normal"/>
        <w:tabs>
          <w:tab w:val="clear" w:pos="720"/>
          <w:tab w:val="left" w:pos="540" w:leader="none"/>
          <w:tab w:val="left" w:pos="1170" w:leader="none"/>
          <w:tab w:val="left" w:pos="9360" w:leader="none"/>
          <w:tab w:val="left" w:pos="9720" w:leader="none"/>
        </w:tabs>
        <w:autoSpaceDE w:val="false"/>
        <w:spacing w:lineRule="exact" w:line="240"/>
        <w:jc w:val="both"/>
        <w:rPr/>
      </w:pPr>
      <w:r>
        <w:rPr>
          <w:sz w:val="22"/>
          <w:szCs w:val="24"/>
        </w:rPr>
        <w:tab/>
        <w:t>(A) Upon the designation or deemed designation of an Early Termination Date, the Non-Defaulting Party (“X”) may, at its option and in its discretion, setoff, against any amounts Owed to the Defaulting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Section_</w:t>
      </w:r>
      <w:r>
        <w:rPr>
          <w:sz w:val="22"/>
          <w:szCs w:val="24"/>
          <w:u w:val="single"/>
        </w:rPr>
        <w:t>__</w:t>
      </w:r>
      <w:r>
        <w:rPr>
          <w:sz w:val="22"/>
          <w:szCs w:val="24"/>
        </w:rPr>
        <w:t xml:space="preserve">, "Owed" shall mean any amounts owed or otherwise accrued and payable (regardless of whether such amounts have been or could be invoiced) as of the Early Termination Date.  </w:t>
        <w:tab/>
      </w:r>
    </w:p>
    <w:p>
      <w:pPr>
        <w:pStyle w:val="Normal"/>
        <w:tabs>
          <w:tab w:val="clear" w:pos="720"/>
          <w:tab w:val="left" w:pos="540" w:leader="none"/>
          <w:tab w:val="left" w:pos="1170" w:leader="none"/>
          <w:tab w:val="left" w:pos="9360" w:leader="none"/>
          <w:tab w:val="left" w:pos="9720" w:leader="none"/>
        </w:tabs>
        <w:autoSpaceDE w:val="false"/>
        <w:spacing w:lineRule="exact" w:line="240"/>
        <w:jc w:val="both"/>
        <w:rPr>
          <w:sz w:val="22"/>
          <w:szCs w:val="24"/>
        </w:rPr>
      </w:pPr>
      <w:r>
        <w:rPr>
          <w:sz w:val="22"/>
          <w:szCs w:val="24"/>
        </w:rPr>
      </w:r>
    </w:p>
    <w:p>
      <w:pPr>
        <w:pStyle w:val="BlockText"/>
        <w:tabs>
          <w:tab w:val="left" w:pos="540" w:leader="none"/>
          <w:tab w:val="left" w:pos="1170" w:leader="none"/>
          <w:tab w:val="left" w:pos="9360" w:leader="none"/>
          <w:tab w:val="left" w:pos="9720" w:leader="none"/>
        </w:tabs>
        <w:ind w:start="0" w:end="0"/>
        <w:rPr>
          <w:sz w:val="22"/>
        </w:rPr>
      </w:pPr>
      <w:r>
        <w:rPr>
          <w:sz w:val="22"/>
        </w:rPr>
        <w:tab/>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Section.</w:t>
      </w:r>
    </w:p>
    <w:p>
      <w:pPr>
        <w:pStyle w:val="Normal"/>
        <w:tabs>
          <w:tab w:val="clear" w:pos="720"/>
          <w:tab w:val="left" w:pos="540" w:leader="none"/>
          <w:tab w:val="left" w:pos="1170" w:leader="none"/>
          <w:tab w:val="left" w:pos="9360" w:leader="none"/>
          <w:tab w:val="left" w:pos="9720" w:leader="none"/>
        </w:tabs>
        <w:autoSpaceDE w:val="false"/>
        <w:jc w:val="both"/>
        <w:rPr>
          <w:sz w:val="22"/>
          <w:szCs w:val="24"/>
        </w:rPr>
      </w:pPr>
      <w:r>
        <w:rPr>
          <w:sz w:val="22"/>
          <w:szCs w:val="24"/>
        </w:rPr>
      </w:r>
    </w:p>
    <w:p>
      <w:pPr>
        <w:pStyle w:val="Normal"/>
        <w:tabs>
          <w:tab w:val="clear" w:pos="720"/>
          <w:tab w:val="left" w:pos="540" w:leader="none"/>
          <w:tab w:val="left" w:pos="1170" w:leader="none"/>
          <w:tab w:val="left" w:pos="9360" w:leader="none"/>
          <w:tab w:val="left" w:pos="9720" w:leader="none"/>
        </w:tabs>
        <w:autoSpaceDE w:val="false"/>
        <w:jc w:val="both"/>
        <w:rPr>
          <w:sz w:val="22"/>
          <w:szCs w:val="24"/>
        </w:rPr>
      </w:pPr>
      <w:r>
        <w:rPr>
          <w:sz w:val="22"/>
          <w:szCs w:val="24"/>
        </w:rPr>
        <w:tab/>
        <w:t>(B) Notwithstanding any provision to the contrary contained in this Agreement, the Non-Defaulting Party shall not be required to pay to the Defaulting Party any amount under Section __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r>
        <w:br w:type="page"/>
      </w:r>
    </w:p>
    <w:p>
      <w:pPr>
        <w:pStyle w:val="Heading"/>
        <w:jc w:val="center"/>
        <w:rPr>
          <w:rFonts w:ascii="Times New Roman" w:hAnsi="Times New Roman" w:cs="Times New Roman"/>
          <w:sz w:val="22"/>
          <w:szCs w:val="24"/>
        </w:rPr>
      </w:pPr>
      <w:r>
        <w:rPr>
          <w:rFonts w:cs="Times New Roman" w:ascii="Times New Roman" w:hAnsi="Times New Roman"/>
          <w:sz w:val="22"/>
          <w:szCs w:val="24"/>
        </w:rPr>
      </w:r>
    </w:p>
    <w:p>
      <w:pPr>
        <w:pStyle w:val="Heading"/>
        <w:jc w:val="center"/>
        <w:rPr>
          <w:rFonts w:ascii="Times New Roman" w:hAnsi="Times New Roman" w:cs="Times New Roman"/>
          <w:sz w:val="20"/>
          <w:lang w:val="en-CA" w:eastAsia="en-CA"/>
        </w:rPr>
      </w:pPr>
      <w:r>
        <w:rPr>
          <w:rFonts w:cs="Times New Roman" w:ascii="Times New Roman" w:hAnsi="Times New Roman"/>
          <w:sz w:val="20"/>
          <w:lang w:val="en-CA" w:eastAsia="en-CA"/>
        </w:rPr>
      </w:r>
      <w:r>
        <mc:AlternateContent>
          <mc:Choice Requires="wps">
            <w:drawing>
              <wp:anchor behindDoc="0" distT="0" distB="0" distL="114935" distR="114935" simplePos="0" locked="0" layoutInCell="1" allowOverlap="1" relativeHeight="24">
                <wp:simplePos x="0" y="0"/>
                <wp:positionH relativeFrom="column">
                  <wp:posOffset>-62865</wp:posOffset>
                </wp:positionH>
                <wp:positionV relativeFrom="paragraph">
                  <wp:posOffset>5715</wp:posOffset>
                </wp:positionV>
                <wp:extent cx="6400800" cy="356235"/>
                <wp:effectExtent l="0" t="0" r="0" b="0"/>
                <wp:wrapNone/>
                <wp:docPr id="2" name="Frame2"/>
                <a:graphic xmlns:a="http://schemas.openxmlformats.org/drawingml/2006/main">
                  <a:graphicData uri="http://schemas.microsoft.com/office/word/2010/wordprocessingShape">
                    <wps:wsp>
                      <wps:cNvSpPr txBox="1"/>
                      <wps:spPr>
                        <a:xfrm>
                          <a:off x="0" y="0"/>
                          <a:ext cx="6400800" cy="356235"/>
                        </a:xfrm>
                        <a:prstGeom prst="rect"/>
                        <a:solidFill>
                          <a:srgbClr val="FFFFFF"/>
                        </a:solidFill>
                      </wps:spPr>
                      <wps:txbx>
                        <w:txbxContent>
                          <w:p>
                            <w:pPr>
                              <w:pStyle w:val="Normal"/>
                              <w:jc w:val="center"/>
                              <w:rPr>
                                <w:b/>
                                <w:bCs/>
                                <w:sz w:val="32"/>
                              </w:rPr>
                            </w:pPr>
                            <w:r>
                              <w:rPr>
                                <w:b/>
                                <w:bCs/>
                                <w:sz w:val="32"/>
                              </w:rPr>
                              <w:t>TRIANGULAR SETOFF</w:t>
                            </w:r>
                          </w:p>
                        </w:txbxContent>
                      </wps:txbx>
                      <wps:bodyPr anchor="t" lIns="92075" tIns="46355" rIns="92075" bIns="46355">
                        <a:noAutofit/>
                      </wps:bodyPr>
                    </wps:wsp>
                  </a:graphicData>
                </a:graphic>
              </wp:anchor>
            </w:drawing>
          </mc:Choice>
          <mc:Fallback>
            <w:pict>
              <v:rect fillcolor="#FFFFFF" style="position:absolute;rotation:-0;width:504pt;height:28.05pt;mso-wrap-distance-left:9.05pt;mso-wrap-distance-right:9.05pt;mso-wrap-distance-top:0pt;mso-wrap-distance-bottom:0pt;margin-top:0.45pt;mso-position-vertical-relative:text;margin-left:-4.95pt;mso-position-horizontal-relative:text">
                <v:textbox inset="0.100694444444444in,0.0506944444444444in,0.100694444444444in,0.0506944444444444in">
                  <w:txbxContent>
                    <w:p>
                      <w:pPr>
                        <w:pStyle w:val="Normal"/>
                        <w:jc w:val="center"/>
                        <w:rPr>
                          <w:b/>
                          <w:bCs/>
                          <w:sz w:val="32"/>
                        </w:rPr>
                      </w:pPr>
                      <w:r>
                        <w:rPr>
                          <w:b/>
                          <w:bCs/>
                          <w:sz w:val="32"/>
                        </w:rPr>
                        <w:t>TRIANGULAR SETOFF</w:t>
                      </w:r>
                    </w:p>
                  </w:txbxContent>
                </v:textbox>
                <w10:wrap type="none"/>
              </v:rect>
            </w:pict>
          </mc:Fallback>
        </mc:AlternateContent>
      </w:r>
    </w:p>
    <w:p>
      <w:pPr>
        <w:pStyle w:val="Heading"/>
        <w:rPr/>
      </w:pPr>
      <w:r>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7">
                <wp:simplePos x="0" y="0"/>
                <wp:positionH relativeFrom="column">
                  <wp:posOffset>4096385</wp:posOffset>
                </wp:positionH>
                <wp:positionV relativeFrom="paragraph">
                  <wp:posOffset>122555</wp:posOffset>
                </wp:positionV>
                <wp:extent cx="1306195" cy="1033145"/>
                <wp:effectExtent l="9525" t="10160" r="8890" b="5080"/>
                <wp:wrapNone/>
                <wp:docPr id="3" name=""/>
                <a:graphic xmlns:a="http://schemas.openxmlformats.org/drawingml/2006/main">
                  <a:graphicData uri="http://schemas.microsoft.com/office/word/2010/wordprocessingShape">
                    <wps:wsp>
                      <wps:cNvSpPr/>
                      <wps:spPr>
                        <a:xfrm>
                          <a:off x="0" y="0"/>
                          <a:ext cx="1306080" cy="1033200"/>
                        </a:xfrm>
                        <a:prstGeom prst="flowChartExtra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Defaulting Party</w:t>
                            </w:r>
                          </w:p>
                          <w:p>
                            <w:pPr>
                              <w:overflowPunct w:val="false"/>
                              <w:bidi w:val="0"/>
                              <w:jc w:val="center"/>
                              <w:rPr/>
                            </w:pPr>
                            <w:r>
                              <w:rPr>
                                <w:kern w:val="2"/>
                                <w:sz w:val="20"/>
                                <w:szCs w:val="20"/>
                                <w:rFonts w:ascii="Times New Roman" w:hAnsi="Times New Roman" w:eastAsia="Times New Roman" w:cs="Times New Roman"/>
                                <w:color w:val="auto"/>
                                <w:lang w:val="en-US" w:bidi="ar-SA"/>
                              </w:rPr>
                              <w:t>(“DP”)</w:t>
                            </w:r>
                          </w:p>
                        </w:txbxContent>
                      </wps:txbx>
                      <wps:bodyPr anchor="t">
                        <a:noAutofit/>
                      </wps:bodyPr>
                    </wps:wsp>
                  </a:graphicData>
                </a:graphic>
              </wp:anchor>
            </w:drawing>
          </mc:Choice>
          <mc:Fallback>
            <w:pict>
              <v:shapetype id="_x0000_t127" coordsize="21600,21600" o:spt="127" path="m,21600l10800,l21600,21600xe">
                <v:stroke joinstyle="miter"/>
                <v:formulas>
                  <v:f eqn="prod width 3 4"/>
                </v:formulas>
                <v:path gradientshapeok="t" o:connecttype="rect" textboxrect="5400,10800,@0,21600"/>
              </v:shapetype>
              <v:shape id="shape_0" fillcolor="white" stroked="t" o:allowincell="f" style="position:absolute;margin-left:322.55pt;margin-top:9.65pt;width:102.8pt;height:81.3pt;mso-wrap-style:square;v-text-anchor:top" type="_x0000_t127">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Defaulting Party</w:t>
                      </w:r>
                    </w:p>
                    <w:p>
                      <w:pPr>
                        <w:overflowPunct w:val="false"/>
                        <w:bidi w:val="0"/>
                        <w:jc w:val="center"/>
                        <w:rPr/>
                      </w:pPr>
                      <w:r>
                        <w:rPr>
                          <w:kern w:val="2"/>
                          <w:sz w:val="20"/>
                          <w:szCs w:val="20"/>
                          <w:rFonts w:ascii="Times New Roman" w:hAnsi="Times New Roman" w:eastAsia="Times New Roman" w:cs="Times New Roman"/>
                          <w:color w:val="auto"/>
                          <w:lang w:val="en-US" w:bidi="ar-SA"/>
                        </w:rPr>
                        <w:t>(“DP”)</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4156075</wp:posOffset>
                </wp:positionH>
                <wp:positionV relativeFrom="paragraph">
                  <wp:posOffset>1269365</wp:posOffset>
                </wp:positionV>
                <wp:extent cx="1306195" cy="1033145"/>
                <wp:effectExtent l="9525" t="10160" r="8890" b="5080"/>
                <wp:wrapNone/>
                <wp:docPr id="4" name=""/>
                <a:graphic xmlns:a="http://schemas.openxmlformats.org/drawingml/2006/main">
                  <a:graphicData uri="http://schemas.microsoft.com/office/word/2010/wordprocessingShape">
                    <wps:wsp>
                      <wps:cNvSpPr/>
                      <wps:spPr>
                        <a:xfrm>
                          <a:off x="0" y="0"/>
                          <a:ext cx="1306080" cy="1033200"/>
                        </a:xfrm>
                        <a:prstGeom prst="flowChartExtra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DP</w:t>
                            </w:r>
                          </w:p>
                          <w:p>
                            <w:pPr>
                              <w:overflowPunct w:val="false"/>
                              <w:bidi w:val="0"/>
                              <w:jc w:val="center"/>
                              <w:rPr/>
                            </w:pPr>
                            <w:r>
                              <w:rPr>
                                <w:kern w:val="2"/>
                                <w:sz w:val="20"/>
                                <w:szCs w:val="20"/>
                                <w:rFonts w:ascii="Times New Roman" w:hAnsi="Times New Roman" w:eastAsia="Times New Roman" w:cs="Times New Roman"/>
                                <w:color w:val="auto"/>
                                <w:lang w:val="en-US" w:bidi="ar-SA"/>
                              </w:rPr>
                              <w:t>Affiliate 1</w:t>
                            </w:r>
                          </w:p>
                        </w:txbxContent>
                      </wps:txbx>
                      <wps:bodyPr anchor="t">
                        <a:noAutofit/>
                      </wps:bodyPr>
                    </wps:wsp>
                  </a:graphicData>
                </a:graphic>
              </wp:anchor>
            </w:drawing>
          </mc:Choice>
          <mc:Fallback>
            <w:pict>
              <v:shape id="shape_0" fillcolor="white" stroked="t" o:allowincell="f" style="position:absolute;margin-left:327.25pt;margin-top:99.95pt;width:102.8pt;height:81.3pt;mso-wrap-style:square;v-text-anchor:top" type="_x0000_t127">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DP</w:t>
                      </w:r>
                    </w:p>
                    <w:p>
                      <w:pPr>
                        <w:overflowPunct w:val="false"/>
                        <w:bidi w:val="0"/>
                        <w:jc w:val="center"/>
                        <w:rPr/>
                      </w:pPr>
                      <w:r>
                        <w:rPr>
                          <w:kern w:val="2"/>
                          <w:sz w:val="20"/>
                          <w:szCs w:val="20"/>
                          <w:rFonts w:ascii="Times New Roman" w:hAnsi="Times New Roman" w:eastAsia="Times New Roman" w:cs="Times New Roman"/>
                          <w:color w:val="auto"/>
                          <w:lang w:val="en-US" w:bidi="ar-SA"/>
                        </w:rPr>
                        <w:t>Affiliate 1</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4097020</wp:posOffset>
                </wp:positionH>
                <wp:positionV relativeFrom="paragraph">
                  <wp:posOffset>2416810</wp:posOffset>
                </wp:positionV>
                <wp:extent cx="1306195" cy="1033145"/>
                <wp:effectExtent l="9525" t="10160" r="8890" b="5080"/>
                <wp:wrapNone/>
                <wp:docPr id="5" name=""/>
                <a:graphic xmlns:a="http://schemas.openxmlformats.org/drawingml/2006/main">
                  <a:graphicData uri="http://schemas.microsoft.com/office/word/2010/wordprocessingShape">
                    <wps:wsp>
                      <wps:cNvSpPr/>
                      <wps:spPr>
                        <a:xfrm>
                          <a:off x="0" y="0"/>
                          <a:ext cx="1306080" cy="1033200"/>
                        </a:xfrm>
                        <a:prstGeom prst="flowChartExtra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 xml:space="preserve">DP </w:t>
                            </w:r>
                          </w:p>
                          <w:p>
                            <w:pPr>
                              <w:overflowPunct w:val="false"/>
                              <w:bidi w:val="0"/>
                              <w:jc w:val="center"/>
                              <w:rPr/>
                            </w:pPr>
                            <w:r>
                              <w:rPr>
                                <w:kern w:val="2"/>
                                <w:sz w:val="20"/>
                                <w:szCs w:val="20"/>
                                <w:rFonts w:ascii="Times New Roman" w:hAnsi="Times New Roman" w:eastAsia="Times New Roman" w:cs="Times New Roman"/>
                                <w:color w:val="auto"/>
                                <w:lang w:val="en-US" w:bidi="ar-SA"/>
                              </w:rPr>
                              <w:t>Affiliate 2</w:t>
                            </w:r>
                          </w:p>
                        </w:txbxContent>
                      </wps:txbx>
                      <wps:bodyPr anchor="t">
                        <a:noAutofit/>
                      </wps:bodyPr>
                    </wps:wsp>
                  </a:graphicData>
                </a:graphic>
              </wp:anchor>
            </w:drawing>
          </mc:Choice>
          <mc:Fallback>
            <w:pict>
              <v:shape id="shape_0" fillcolor="white" stroked="t" o:allowincell="f" style="position:absolute;margin-left:322.6pt;margin-top:190.3pt;width:102.8pt;height:81.3pt;mso-wrap-style:square;v-text-anchor:top" type="_x0000_t127">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 xml:space="preserve">DP </w:t>
                      </w:r>
                    </w:p>
                    <w:p>
                      <w:pPr>
                        <w:overflowPunct w:val="false"/>
                        <w:bidi w:val="0"/>
                        <w:jc w:val="center"/>
                        <w:rPr/>
                      </w:pPr>
                      <w:r>
                        <w:rPr>
                          <w:kern w:val="2"/>
                          <w:sz w:val="20"/>
                          <w:szCs w:val="20"/>
                          <w:rFonts w:ascii="Times New Roman" w:hAnsi="Times New Roman" w:eastAsia="Times New Roman" w:cs="Times New Roman"/>
                          <w:color w:val="auto"/>
                          <w:lang w:val="en-US" w:bidi="ar-SA"/>
                        </w:rPr>
                        <w:t>Affiliate 2</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1951990</wp:posOffset>
                </wp:positionH>
                <wp:positionV relativeFrom="paragraph">
                  <wp:posOffset>516255</wp:posOffset>
                </wp:positionV>
                <wp:extent cx="2560320" cy="5080"/>
                <wp:effectExtent l="635" t="5080" r="635" b="5080"/>
                <wp:wrapNone/>
                <wp:docPr id="6" name=""/>
                <a:graphic xmlns:a="http://schemas.openxmlformats.org/drawingml/2006/main">
                  <a:graphicData uri="http://schemas.microsoft.com/office/word/2010/wordprocessingShape">
                    <wps:wsp>
                      <wps:cNvSpPr/>
                      <wps:spPr>
                        <a:xfrm>
                          <a:off x="0" y="0"/>
                          <a:ext cx="2560320" cy="5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3.7pt,40.65pt" to="355.25pt,4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1957070</wp:posOffset>
                </wp:positionH>
                <wp:positionV relativeFrom="paragraph">
                  <wp:posOffset>706120</wp:posOffset>
                </wp:positionV>
                <wp:extent cx="2426970" cy="1068705"/>
                <wp:effectExtent l="2540" t="4445" r="2540" b="4445"/>
                <wp:wrapNone/>
                <wp:docPr id="7" name=""/>
                <a:graphic xmlns:a="http://schemas.openxmlformats.org/drawingml/2006/main">
                  <a:graphicData uri="http://schemas.microsoft.com/office/word/2010/wordprocessingShape">
                    <wps:wsp>
                      <wps:cNvSpPr/>
                      <wps:spPr>
                        <a:xfrm flipV="1">
                          <a:off x="0" y="0"/>
                          <a:ext cx="2427120" cy="10688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1pt,55.6pt" to="345.15pt,139.7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1957070</wp:posOffset>
                </wp:positionH>
                <wp:positionV relativeFrom="paragraph">
                  <wp:posOffset>1152525</wp:posOffset>
                </wp:positionV>
                <wp:extent cx="2218055" cy="1852295"/>
                <wp:effectExtent l="3175" t="3810" r="3175" b="3810"/>
                <wp:wrapNone/>
                <wp:docPr id="8" name=""/>
                <a:graphic xmlns:a="http://schemas.openxmlformats.org/drawingml/2006/main">
                  <a:graphicData uri="http://schemas.microsoft.com/office/word/2010/wordprocessingShape">
                    <wps:wsp>
                      <wps:cNvSpPr/>
                      <wps:spPr>
                        <a:xfrm flipV="1">
                          <a:off x="0" y="0"/>
                          <a:ext cx="2217960" cy="1852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1pt,90.75pt" to="328.7pt,236.5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4096385</wp:posOffset>
                </wp:positionH>
                <wp:positionV relativeFrom="paragraph">
                  <wp:posOffset>4317365</wp:posOffset>
                </wp:positionV>
                <wp:extent cx="1306195" cy="1033145"/>
                <wp:effectExtent l="9525" t="10160" r="8890" b="5080"/>
                <wp:wrapNone/>
                <wp:docPr id="9" name=""/>
                <a:graphic xmlns:a="http://schemas.openxmlformats.org/drawingml/2006/main">
                  <a:graphicData uri="http://schemas.microsoft.com/office/word/2010/wordprocessingShape">
                    <wps:wsp>
                      <wps:cNvSpPr/>
                      <wps:spPr>
                        <a:xfrm>
                          <a:off x="0" y="0"/>
                          <a:ext cx="1306080" cy="1033200"/>
                        </a:xfrm>
                        <a:prstGeom prst="flowChartExtra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Defaulting Party</w:t>
                            </w:r>
                          </w:p>
                          <w:p>
                            <w:pPr>
                              <w:overflowPunct w:val="false"/>
                              <w:bidi w:val="0"/>
                              <w:jc w:val="center"/>
                              <w:rPr/>
                            </w:pPr>
                            <w:r>
                              <w:rPr>
                                <w:kern w:val="2"/>
                                <w:sz w:val="20"/>
                                <w:szCs w:val="20"/>
                                <w:rFonts w:ascii="Times New Roman" w:hAnsi="Times New Roman" w:eastAsia="Times New Roman" w:cs="Times New Roman"/>
                                <w:color w:val="auto"/>
                                <w:lang w:val="en-US" w:bidi="ar-SA"/>
                              </w:rPr>
                              <w:t>(“DP”)</w:t>
                            </w:r>
                          </w:p>
                        </w:txbxContent>
                      </wps:txbx>
                      <wps:bodyPr anchor="t">
                        <a:noAutofit/>
                      </wps:bodyPr>
                    </wps:wsp>
                  </a:graphicData>
                </a:graphic>
              </wp:anchor>
            </w:drawing>
          </mc:Choice>
          <mc:Fallback>
            <w:pict>
              <v:shape id="shape_0" fillcolor="white" stroked="t" o:allowincell="f" style="position:absolute;margin-left:322.55pt;margin-top:339.95pt;width:102.8pt;height:81.3pt;mso-wrap-style:square;v-text-anchor:top" type="_x0000_t127">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Defaulting Party</w:t>
                      </w:r>
                    </w:p>
                    <w:p>
                      <w:pPr>
                        <w:overflowPunct w:val="false"/>
                        <w:bidi w:val="0"/>
                        <w:jc w:val="center"/>
                        <w:rPr/>
                      </w:pPr>
                      <w:r>
                        <w:rPr>
                          <w:kern w:val="2"/>
                          <w:sz w:val="20"/>
                          <w:szCs w:val="20"/>
                          <w:rFonts w:ascii="Times New Roman" w:hAnsi="Times New Roman" w:eastAsia="Times New Roman" w:cs="Times New Roman"/>
                          <w:color w:val="auto"/>
                          <w:lang w:val="en-US" w:bidi="ar-SA"/>
                        </w:rPr>
                        <w:t>(“DP”)</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8">
                <wp:simplePos x="0" y="0"/>
                <wp:positionH relativeFrom="column">
                  <wp:posOffset>4156075</wp:posOffset>
                </wp:positionH>
                <wp:positionV relativeFrom="paragraph">
                  <wp:posOffset>5464175</wp:posOffset>
                </wp:positionV>
                <wp:extent cx="1306195" cy="1033145"/>
                <wp:effectExtent l="9525" t="10160" r="8890" b="5080"/>
                <wp:wrapNone/>
                <wp:docPr id="10" name=""/>
                <a:graphic xmlns:a="http://schemas.openxmlformats.org/drawingml/2006/main">
                  <a:graphicData uri="http://schemas.microsoft.com/office/word/2010/wordprocessingShape">
                    <wps:wsp>
                      <wps:cNvSpPr/>
                      <wps:spPr>
                        <a:xfrm>
                          <a:off x="0" y="0"/>
                          <a:ext cx="1306080" cy="1033200"/>
                        </a:xfrm>
                        <a:prstGeom prst="flowChartExtra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DP</w:t>
                            </w:r>
                          </w:p>
                          <w:p>
                            <w:pPr>
                              <w:overflowPunct w:val="false"/>
                              <w:bidi w:val="0"/>
                              <w:jc w:val="center"/>
                              <w:rPr/>
                            </w:pPr>
                            <w:r>
                              <w:rPr>
                                <w:kern w:val="2"/>
                                <w:sz w:val="20"/>
                                <w:szCs w:val="20"/>
                                <w:rFonts w:ascii="Times New Roman" w:hAnsi="Times New Roman" w:eastAsia="Times New Roman" w:cs="Times New Roman"/>
                                <w:color w:val="auto"/>
                                <w:lang w:val="en-US" w:bidi="ar-SA"/>
                              </w:rPr>
                              <w:t>Affiliate 1</w:t>
                            </w:r>
                          </w:p>
                        </w:txbxContent>
                      </wps:txbx>
                      <wps:bodyPr anchor="t">
                        <a:noAutofit/>
                      </wps:bodyPr>
                    </wps:wsp>
                  </a:graphicData>
                </a:graphic>
              </wp:anchor>
            </w:drawing>
          </mc:Choice>
          <mc:Fallback>
            <w:pict>
              <v:shape id="shape_0" fillcolor="white" stroked="t" o:allowincell="f" style="position:absolute;margin-left:327.25pt;margin-top:430.25pt;width:102.8pt;height:81.3pt;mso-wrap-style:square;v-text-anchor:top" type="_x0000_t127">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DP</w:t>
                      </w:r>
                    </w:p>
                    <w:p>
                      <w:pPr>
                        <w:overflowPunct w:val="false"/>
                        <w:bidi w:val="0"/>
                        <w:jc w:val="center"/>
                        <w:rPr/>
                      </w:pPr>
                      <w:r>
                        <w:rPr>
                          <w:kern w:val="2"/>
                          <w:sz w:val="20"/>
                          <w:szCs w:val="20"/>
                          <w:rFonts w:ascii="Times New Roman" w:hAnsi="Times New Roman" w:eastAsia="Times New Roman" w:cs="Times New Roman"/>
                          <w:color w:val="auto"/>
                          <w:lang w:val="en-US" w:bidi="ar-SA"/>
                        </w:rPr>
                        <w:t>Affiliate 1</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9">
                <wp:simplePos x="0" y="0"/>
                <wp:positionH relativeFrom="column">
                  <wp:posOffset>4097020</wp:posOffset>
                </wp:positionH>
                <wp:positionV relativeFrom="paragraph">
                  <wp:posOffset>6611620</wp:posOffset>
                </wp:positionV>
                <wp:extent cx="1306195" cy="1033145"/>
                <wp:effectExtent l="9525" t="10160" r="8890" b="5080"/>
                <wp:wrapNone/>
                <wp:docPr id="11" name=""/>
                <a:graphic xmlns:a="http://schemas.openxmlformats.org/drawingml/2006/main">
                  <a:graphicData uri="http://schemas.microsoft.com/office/word/2010/wordprocessingShape">
                    <wps:wsp>
                      <wps:cNvSpPr/>
                      <wps:spPr>
                        <a:xfrm>
                          <a:off x="0" y="0"/>
                          <a:ext cx="1306080" cy="1033200"/>
                        </a:xfrm>
                        <a:prstGeom prst="flowChartExtract">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 xml:space="preserve">DP </w:t>
                            </w:r>
                          </w:p>
                          <w:p>
                            <w:pPr>
                              <w:overflowPunct w:val="false"/>
                              <w:bidi w:val="0"/>
                              <w:jc w:val="center"/>
                              <w:rPr/>
                            </w:pPr>
                            <w:r>
                              <w:rPr>
                                <w:kern w:val="2"/>
                                <w:sz w:val="20"/>
                                <w:szCs w:val="20"/>
                                <w:rFonts w:ascii="Times New Roman" w:hAnsi="Times New Roman" w:eastAsia="Times New Roman" w:cs="Times New Roman"/>
                                <w:color w:val="auto"/>
                                <w:lang w:val="en-US" w:bidi="ar-SA"/>
                              </w:rPr>
                              <w:t>Affiliate 2</w:t>
                            </w:r>
                          </w:p>
                        </w:txbxContent>
                      </wps:txbx>
                      <wps:bodyPr anchor="t">
                        <a:noAutofit/>
                      </wps:bodyPr>
                    </wps:wsp>
                  </a:graphicData>
                </a:graphic>
              </wp:anchor>
            </w:drawing>
          </mc:Choice>
          <mc:Fallback>
            <w:pict>
              <v:shape id="shape_0" fillcolor="white" stroked="t" o:allowincell="f" style="position:absolute;margin-left:322.6pt;margin-top:520.6pt;width:102.8pt;height:81.3pt;mso-wrap-style:square;v-text-anchor:top" type="_x0000_t127">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 xml:space="preserve">DP </w:t>
                      </w:r>
                    </w:p>
                    <w:p>
                      <w:pPr>
                        <w:overflowPunct w:val="false"/>
                        <w:bidi w:val="0"/>
                        <w:jc w:val="center"/>
                        <w:rPr/>
                      </w:pPr>
                      <w:r>
                        <w:rPr>
                          <w:kern w:val="2"/>
                          <w:sz w:val="20"/>
                          <w:szCs w:val="20"/>
                          <w:rFonts w:ascii="Times New Roman" w:hAnsi="Times New Roman" w:eastAsia="Times New Roman" w:cs="Times New Roman"/>
                          <w:color w:val="auto"/>
                          <w:lang w:val="en-US" w:bidi="ar-SA"/>
                        </w:rPr>
                        <w:t>Affiliate 2</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0">
                <wp:simplePos x="0" y="0"/>
                <wp:positionH relativeFrom="column">
                  <wp:posOffset>1928495</wp:posOffset>
                </wp:positionH>
                <wp:positionV relativeFrom="paragraph">
                  <wp:posOffset>4843145</wp:posOffset>
                </wp:positionV>
                <wp:extent cx="2493645" cy="2256155"/>
                <wp:effectExtent l="3810" t="3810" r="3810" b="3810"/>
                <wp:wrapNone/>
                <wp:docPr id="12" name=""/>
                <a:graphic xmlns:a="http://schemas.openxmlformats.org/drawingml/2006/main">
                  <a:graphicData uri="http://schemas.microsoft.com/office/word/2010/wordprocessingShape">
                    <wps:wsp>
                      <wps:cNvSpPr/>
                      <wps:spPr>
                        <a:xfrm flipV="1">
                          <a:off x="0" y="0"/>
                          <a:ext cx="2493720" cy="2256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1.85pt,381.35pt" to="348.15pt,558.9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1938020</wp:posOffset>
                </wp:positionH>
                <wp:positionV relativeFrom="paragraph">
                  <wp:posOffset>4744085</wp:posOffset>
                </wp:positionV>
                <wp:extent cx="2493645" cy="2374900"/>
                <wp:effectExtent l="3810" t="3810" r="3810" b="3810"/>
                <wp:wrapNone/>
                <wp:docPr id="13" name=""/>
                <a:graphic xmlns:a="http://schemas.openxmlformats.org/drawingml/2006/main">
                  <a:graphicData uri="http://schemas.microsoft.com/office/word/2010/wordprocessingShape">
                    <wps:wsp>
                      <wps:cNvSpPr/>
                      <wps:spPr>
                        <a:xfrm>
                          <a:off x="0" y="0"/>
                          <a:ext cx="2493720" cy="23749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2.6pt,373.55pt" to="348.9pt,56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1957070</wp:posOffset>
                </wp:positionH>
                <wp:positionV relativeFrom="paragraph">
                  <wp:posOffset>5941060</wp:posOffset>
                </wp:positionV>
                <wp:extent cx="2555240" cy="38100"/>
                <wp:effectExtent l="635" t="5080" r="635" b="5080"/>
                <wp:wrapNone/>
                <wp:docPr id="14" name=""/>
                <a:graphic xmlns:a="http://schemas.openxmlformats.org/drawingml/2006/main">
                  <a:graphicData uri="http://schemas.microsoft.com/office/word/2010/wordprocessingShape">
                    <wps:wsp>
                      <wps:cNvSpPr/>
                      <wps:spPr>
                        <a:xfrm flipV="1">
                          <a:off x="0" y="0"/>
                          <a:ext cx="2555280" cy="38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4.1pt,467.8pt" to="355.25pt,470.7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3115945</wp:posOffset>
                </wp:positionH>
                <wp:positionV relativeFrom="paragraph">
                  <wp:posOffset>5883910</wp:posOffset>
                </wp:positionV>
                <wp:extent cx="161925" cy="139065"/>
                <wp:effectExtent l="5715" t="5715" r="5080" b="5080"/>
                <wp:wrapNone/>
                <wp:docPr id="15" name=""/>
                <a:graphic xmlns:a="http://schemas.openxmlformats.org/drawingml/2006/main">
                  <a:graphicData uri="http://schemas.microsoft.com/office/word/2010/wordprocessingShape">
                    <wps:wsp>
                      <wps:cNvSpPr/>
                      <wps:spPr>
                        <a:xfrm>
                          <a:off x="0" y="0"/>
                          <a:ext cx="162000" cy="138960"/>
                        </a:xfrm>
                        <a:prstGeom prst="flowChartConnector">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black" stroked="t" o:allowincell="f" style="position:absolute;margin-left:245.35pt;margin-top:463.3pt;width:12.7pt;height:10.9pt;mso-wrap-style:none;v-text-anchor:middle" type="_x0000_t120">
                <v:fill o:detectmouseclick="t" type="solid" color2="white"/>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4">
                <wp:simplePos x="0" y="0"/>
                <wp:positionH relativeFrom="column">
                  <wp:posOffset>-128270</wp:posOffset>
                </wp:positionH>
                <wp:positionV relativeFrom="paragraph">
                  <wp:posOffset>172720</wp:posOffset>
                </wp:positionV>
                <wp:extent cx="2076450" cy="933450"/>
                <wp:effectExtent l="0" t="0" r="0" b="0"/>
                <wp:wrapNone/>
                <wp:docPr id="16" name="Frame6"/>
                <a:graphic xmlns:a="http://schemas.openxmlformats.org/drawingml/2006/main">
                  <a:graphicData uri="http://schemas.microsoft.com/office/word/2010/wordprocessingShape">
                    <wps:wsp>
                      <wps:cNvSpPr txBox="1"/>
                      <wps:spPr>
                        <a:xfrm>
                          <a:off x="0" y="0"/>
                          <a:ext cx="2076450" cy="933450"/>
                        </a:xfrm>
                        <a:prstGeom prst="rect"/>
                        <a:solidFill>
                          <a:srgbClr val="FFFFFF"/>
                        </a:solidFill>
                        <a:ln w="9525">
                          <a:solidFill>
                            <a:srgbClr val="000000"/>
                          </a:solidFill>
                        </a:ln>
                      </wps:spPr>
                      <wps:txbx>
                        <w:txbxContent>
                          <w:p>
                            <w:pPr>
                              <w:pStyle w:val="Normal"/>
                              <w:jc w:val="center"/>
                              <w:rPr/>
                            </w:pPr>
                            <w:r>
                              <w:rPr/>
                            </w:r>
                          </w:p>
                          <w:p>
                            <w:pPr>
                              <w:pStyle w:val="Normal"/>
                              <w:jc w:val="center"/>
                              <w:rPr>
                                <w:sz w:val="20"/>
                              </w:rPr>
                            </w:pPr>
                            <w:r>
                              <w:rPr>
                                <w:sz w:val="20"/>
                              </w:rPr>
                              <w:t>Non-Defaulting Party</w:t>
                            </w:r>
                          </w:p>
                          <w:p>
                            <w:pPr>
                              <w:pStyle w:val="Normal"/>
                              <w:jc w:val="center"/>
                              <w:rPr>
                                <w:sz w:val="20"/>
                              </w:rPr>
                            </w:pPr>
                            <w:r>
                              <w:rPr>
                                <w:sz w:val="20"/>
                              </w:rPr>
                              <w:t>(“NDP”)</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73.5pt;mso-wrap-distance-left:9.05pt;mso-wrap-distance-right:9.05pt;mso-wrap-distance-top:0pt;mso-wrap-distance-bottom:0pt;margin-top:13.6pt;mso-position-vertical-relative:text;margin-left:-10.1pt;mso-position-horizontal-relative:text">
                <v:textbox>
                  <w:txbxContent>
                    <w:p>
                      <w:pPr>
                        <w:pStyle w:val="Normal"/>
                        <w:jc w:val="center"/>
                        <w:rPr/>
                      </w:pPr>
                      <w:r>
                        <w:rPr/>
                      </w:r>
                    </w:p>
                    <w:p>
                      <w:pPr>
                        <w:pStyle w:val="Normal"/>
                        <w:jc w:val="center"/>
                        <w:rPr>
                          <w:sz w:val="20"/>
                        </w:rPr>
                      </w:pPr>
                      <w:r>
                        <w:rPr>
                          <w:sz w:val="20"/>
                        </w:rPr>
                        <w:t>Non-Defaulting Party</w:t>
                      </w:r>
                    </w:p>
                    <w:p>
                      <w:pPr>
                        <w:pStyle w:val="Normal"/>
                        <w:jc w:val="center"/>
                        <w:rPr>
                          <w:sz w:val="20"/>
                        </w:rPr>
                      </w:pPr>
                      <w:r>
                        <w:rPr>
                          <w:sz w:val="20"/>
                        </w:rPr>
                        <w:t>(“NDP”)</w:t>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-128270</wp:posOffset>
                </wp:positionH>
                <wp:positionV relativeFrom="paragraph">
                  <wp:posOffset>1301750</wp:posOffset>
                </wp:positionV>
                <wp:extent cx="2076450" cy="969010"/>
                <wp:effectExtent l="0" t="0" r="0" b="0"/>
                <wp:wrapNone/>
                <wp:docPr id="17" name="Frame7"/>
                <a:graphic xmlns:a="http://schemas.openxmlformats.org/drawingml/2006/main">
                  <a:graphicData uri="http://schemas.microsoft.com/office/word/2010/wordprocessingShape">
                    <wps:wsp>
                      <wps:cNvSpPr txBox="1"/>
                      <wps:spPr>
                        <a:xfrm>
                          <a:off x="0" y="0"/>
                          <a:ext cx="2076450" cy="969010"/>
                        </a:xfrm>
                        <a:prstGeom prst="rect"/>
                        <a:solidFill>
                          <a:srgbClr val="FFFFFF"/>
                        </a:solidFill>
                        <a:ln w="9525">
                          <a:solidFill>
                            <a:srgbClr val="000000"/>
                          </a:solidFill>
                        </a:ln>
                      </wps:spPr>
                      <wps:txbx>
                        <w:txbxContent>
                          <w:p>
                            <w:pPr>
                              <w:pStyle w:val="Normal"/>
                              <w:jc w:val="center"/>
                              <w:rPr/>
                            </w:pPr>
                            <w:r>
                              <w:rPr/>
                            </w:r>
                          </w:p>
                          <w:p>
                            <w:pPr>
                              <w:pStyle w:val="Normal"/>
                              <w:jc w:val="center"/>
                              <w:rPr>
                                <w:sz w:val="20"/>
                              </w:rPr>
                            </w:pPr>
                            <w:r>
                              <w:rPr>
                                <w:sz w:val="20"/>
                              </w:rPr>
                              <w:t>NDP</w:t>
                            </w:r>
                          </w:p>
                          <w:p>
                            <w:pPr>
                              <w:pStyle w:val="Normal"/>
                              <w:jc w:val="center"/>
                              <w:rPr>
                                <w:sz w:val="20"/>
                              </w:rPr>
                            </w:pPr>
                            <w:r>
                              <w:rPr>
                                <w:sz w:val="20"/>
                              </w:rPr>
                              <w:t>Affiliate 1</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76.3pt;mso-wrap-distance-left:9.05pt;mso-wrap-distance-right:9.05pt;mso-wrap-distance-top:0pt;mso-wrap-distance-bottom:0pt;margin-top:102.5pt;mso-position-vertical-relative:text;margin-left:-10.1pt;mso-position-horizontal-relative:text">
                <v:textbox>
                  <w:txbxContent>
                    <w:p>
                      <w:pPr>
                        <w:pStyle w:val="Normal"/>
                        <w:jc w:val="center"/>
                        <w:rPr/>
                      </w:pPr>
                      <w:r>
                        <w:rPr/>
                      </w:r>
                    </w:p>
                    <w:p>
                      <w:pPr>
                        <w:pStyle w:val="Normal"/>
                        <w:jc w:val="center"/>
                        <w:rPr>
                          <w:sz w:val="20"/>
                        </w:rPr>
                      </w:pPr>
                      <w:r>
                        <w:rPr>
                          <w:sz w:val="20"/>
                        </w:rPr>
                        <w:t>NDP</w:t>
                      </w:r>
                    </w:p>
                    <w:p>
                      <w:pPr>
                        <w:pStyle w:val="Normal"/>
                        <w:jc w:val="center"/>
                        <w:rPr>
                          <w:sz w:val="20"/>
                        </w:rPr>
                      </w:pPr>
                      <w:r>
                        <w:rPr>
                          <w:sz w:val="20"/>
                        </w:rPr>
                        <w:t>Affiliate 1</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-128270</wp:posOffset>
                </wp:positionH>
                <wp:positionV relativeFrom="paragraph">
                  <wp:posOffset>2449195</wp:posOffset>
                </wp:positionV>
                <wp:extent cx="2076450" cy="969010"/>
                <wp:effectExtent l="0" t="0" r="0" b="0"/>
                <wp:wrapNone/>
                <wp:docPr id="18" name="Frame8"/>
                <a:graphic xmlns:a="http://schemas.openxmlformats.org/drawingml/2006/main">
                  <a:graphicData uri="http://schemas.microsoft.com/office/word/2010/wordprocessingShape">
                    <wps:wsp>
                      <wps:cNvSpPr txBox="1"/>
                      <wps:spPr>
                        <a:xfrm>
                          <a:off x="0" y="0"/>
                          <a:ext cx="2076450" cy="969010"/>
                        </a:xfrm>
                        <a:prstGeom prst="rect"/>
                        <a:solidFill>
                          <a:srgbClr val="FFFFFF"/>
                        </a:solidFill>
                        <a:ln w="9525">
                          <a:solidFill>
                            <a:srgbClr val="000000"/>
                          </a:solidFill>
                        </a:ln>
                      </wps:spPr>
                      <wps:txbx>
                        <w:txbxContent>
                          <w:p>
                            <w:pPr>
                              <w:pStyle w:val="Normal"/>
                              <w:rPr/>
                            </w:pPr>
                            <w:r>
                              <w:rPr/>
                            </w:r>
                          </w:p>
                          <w:p>
                            <w:pPr>
                              <w:pStyle w:val="Normal"/>
                              <w:jc w:val="center"/>
                              <w:rPr>
                                <w:sz w:val="20"/>
                              </w:rPr>
                            </w:pPr>
                            <w:r>
                              <w:rPr>
                                <w:sz w:val="20"/>
                              </w:rPr>
                              <w:t>NDP</w:t>
                            </w:r>
                          </w:p>
                          <w:p>
                            <w:pPr>
                              <w:pStyle w:val="Normal"/>
                              <w:jc w:val="center"/>
                              <w:rPr>
                                <w:sz w:val="20"/>
                              </w:rPr>
                            </w:pPr>
                            <w:r>
                              <w:rPr>
                                <w:sz w:val="20"/>
                              </w:rPr>
                              <w:t>Affiliate 2</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76.3pt;mso-wrap-distance-left:9.05pt;mso-wrap-distance-right:9.05pt;mso-wrap-distance-top:0pt;mso-wrap-distance-bottom:0pt;margin-top:192.85pt;mso-position-vertical-relative:text;margin-left:-10.1pt;mso-position-horizontal-relative:text">
                <v:textbox>
                  <w:txbxContent>
                    <w:p>
                      <w:pPr>
                        <w:pStyle w:val="Normal"/>
                        <w:rPr/>
                      </w:pPr>
                      <w:r>
                        <w:rPr/>
                      </w:r>
                    </w:p>
                    <w:p>
                      <w:pPr>
                        <w:pStyle w:val="Normal"/>
                        <w:jc w:val="center"/>
                        <w:rPr>
                          <w:sz w:val="20"/>
                        </w:rPr>
                      </w:pPr>
                      <w:r>
                        <w:rPr>
                          <w:sz w:val="20"/>
                        </w:rPr>
                        <w:t>NDP</w:t>
                      </w:r>
                    </w:p>
                    <w:p>
                      <w:pPr>
                        <w:pStyle w:val="Normal"/>
                        <w:jc w:val="center"/>
                        <w:rPr>
                          <w:sz w:val="20"/>
                        </w:rPr>
                      </w:pPr>
                      <w:r>
                        <w:rPr>
                          <w:sz w:val="20"/>
                        </w:rPr>
                        <w:t>Affiliate 2</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-128270</wp:posOffset>
                </wp:positionH>
                <wp:positionV relativeFrom="paragraph">
                  <wp:posOffset>4367530</wp:posOffset>
                </wp:positionV>
                <wp:extent cx="2076450" cy="933450"/>
                <wp:effectExtent l="0" t="0" r="0" b="0"/>
                <wp:wrapNone/>
                <wp:docPr id="19" name="Frame5"/>
                <a:graphic xmlns:a="http://schemas.openxmlformats.org/drawingml/2006/main">
                  <a:graphicData uri="http://schemas.microsoft.com/office/word/2010/wordprocessingShape">
                    <wps:wsp>
                      <wps:cNvSpPr txBox="1"/>
                      <wps:spPr>
                        <a:xfrm>
                          <a:off x="0" y="0"/>
                          <a:ext cx="2076450" cy="933450"/>
                        </a:xfrm>
                        <a:prstGeom prst="rect"/>
                        <a:solidFill>
                          <a:srgbClr val="FFFFFF"/>
                        </a:solidFill>
                        <a:ln w="9525">
                          <a:solidFill>
                            <a:srgbClr val="000000"/>
                          </a:solidFill>
                        </a:ln>
                      </wps:spPr>
                      <wps:txbx>
                        <w:txbxContent>
                          <w:p>
                            <w:pPr>
                              <w:pStyle w:val="Normal"/>
                              <w:jc w:val="center"/>
                              <w:rPr/>
                            </w:pPr>
                            <w:r>
                              <w:rPr/>
                            </w:r>
                          </w:p>
                          <w:p>
                            <w:pPr>
                              <w:pStyle w:val="Normal"/>
                              <w:jc w:val="center"/>
                              <w:rPr>
                                <w:sz w:val="20"/>
                              </w:rPr>
                            </w:pPr>
                            <w:r>
                              <w:rPr>
                                <w:sz w:val="20"/>
                              </w:rPr>
                              <w:t>Non-Defaulting Party</w:t>
                            </w:r>
                          </w:p>
                          <w:p>
                            <w:pPr>
                              <w:pStyle w:val="Normal"/>
                              <w:jc w:val="center"/>
                              <w:rPr>
                                <w:sz w:val="20"/>
                              </w:rPr>
                            </w:pPr>
                            <w:r>
                              <w:rPr>
                                <w:sz w:val="20"/>
                              </w:rPr>
                              <w:t>(“NDP”)</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73.5pt;mso-wrap-distance-left:9.05pt;mso-wrap-distance-right:9.05pt;mso-wrap-distance-top:0pt;mso-wrap-distance-bottom:0pt;margin-top:343.9pt;mso-position-vertical-relative:text;margin-left:-10.1pt;mso-position-horizontal-relative:text">
                <v:textbox>
                  <w:txbxContent>
                    <w:p>
                      <w:pPr>
                        <w:pStyle w:val="Normal"/>
                        <w:jc w:val="center"/>
                        <w:rPr/>
                      </w:pPr>
                      <w:r>
                        <w:rPr/>
                      </w:r>
                    </w:p>
                    <w:p>
                      <w:pPr>
                        <w:pStyle w:val="Normal"/>
                        <w:jc w:val="center"/>
                        <w:rPr>
                          <w:sz w:val="20"/>
                        </w:rPr>
                      </w:pPr>
                      <w:r>
                        <w:rPr>
                          <w:sz w:val="20"/>
                        </w:rPr>
                        <w:t>Non-Defaulting Party</w:t>
                      </w:r>
                    </w:p>
                    <w:p>
                      <w:pPr>
                        <w:pStyle w:val="Normal"/>
                        <w:jc w:val="center"/>
                        <w:rPr>
                          <w:sz w:val="20"/>
                        </w:rPr>
                      </w:pPr>
                      <w:r>
                        <w:rPr>
                          <w:sz w:val="20"/>
                        </w:rPr>
                        <w:t>(“NDP”)</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-128270</wp:posOffset>
                </wp:positionH>
                <wp:positionV relativeFrom="paragraph">
                  <wp:posOffset>5496560</wp:posOffset>
                </wp:positionV>
                <wp:extent cx="2076450" cy="969010"/>
                <wp:effectExtent l="0" t="0" r="0" b="0"/>
                <wp:wrapNone/>
                <wp:docPr id="20" name="Frame4"/>
                <a:graphic xmlns:a="http://schemas.openxmlformats.org/drawingml/2006/main">
                  <a:graphicData uri="http://schemas.microsoft.com/office/word/2010/wordprocessingShape">
                    <wps:wsp>
                      <wps:cNvSpPr txBox="1"/>
                      <wps:spPr>
                        <a:xfrm>
                          <a:off x="0" y="0"/>
                          <a:ext cx="2076450" cy="969010"/>
                        </a:xfrm>
                        <a:prstGeom prst="rect"/>
                        <a:solidFill>
                          <a:srgbClr val="FFFFFF"/>
                        </a:solidFill>
                        <a:ln w="9525">
                          <a:solidFill>
                            <a:srgbClr val="000000"/>
                          </a:solidFill>
                        </a:ln>
                      </wps:spPr>
                      <wps:txbx>
                        <w:txbxContent>
                          <w:p>
                            <w:pPr>
                              <w:pStyle w:val="Normal"/>
                              <w:jc w:val="center"/>
                              <w:rPr/>
                            </w:pPr>
                            <w:r>
                              <w:rPr/>
                            </w:r>
                          </w:p>
                          <w:p>
                            <w:pPr>
                              <w:pStyle w:val="Normal"/>
                              <w:jc w:val="center"/>
                              <w:rPr>
                                <w:sz w:val="20"/>
                              </w:rPr>
                            </w:pPr>
                            <w:r>
                              <w:rPr>
                                <w:sz w:val="20"/>
                              </w:rPr>
                              <w:t>NDP</w:t>
                            </w:r>
                          </w:p>
                          <w:p>
                            <w:pPr>
                              <w:pStyle w:val="Normal"/>
                              <w:jc w:val="center"/>
                              <w:rPr>
                                <w:sz w:val="20"/>
                              </w:rPr>
                            </w:pPr>
                            <w:r>
                              <w:rPr>
                                <w:sz w:val="20"/>
                              </w:rPr>
                              <w:t>Affiliate 1</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76.3pt;mso-wrap-distance-left:9.05pt;mso-wrap-distance-right:9.05pt;mso-wrap-distance-top:0pt;mso-wrap-distance-bottom:0pt;margin-top:432.8pt;mso-position-vertical-relative:text;margin-left:-10.1pt;mso-position-horizontal-relative:text">
                <v:textbox>
                  <w:txbxContent>
                    <w:p>
                      <w:pPr>
                        <w:pStyle w:val="Normal"/>
                        <w:jc w:val="center"/>
                        <w:rPr/>
                      </w:pPr>
                      <w:r>
                        <w:rPr/>
                      </w:r>
                    </w:p>
                    <w:p>
                      <w:pPr>
                        <w:pStyle w:val="Normal"/>
                        <w:jc w:val="center"/>
                        <w:rPr>
                          <w:sz w:val="20"/>
                        </w:rPr>
                      </w:pPr>
                      <w:r>
                        <w:rPr>
                          <w:sz w:val="20"/>
                        </w:rPr>
                        <w:t>NDP</w:t>
                      </w:r>
                    </w:p>
                    <w:p>
                      <w:pPr>
                        <w:pStyle w:val="Normal"/>
                        <w:jc w:val="center"/>
                        <w:rPr>
                          <w:sz w:val="20"/>
                        </w:rPr>
                      </w:pPr>
                      <w:r>
                        <w:rPr>
                          <w:sz w:val="20"/>
                        </w:rPr>
                        <w:t>Affiliate 1</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-128270</wp:posOffset>
                </wp:positionH>
                <wp:positionV relativeFrom="paragraph">
                  <wp:posOffset>6644005</wp:posOffset>
                </wp:positionV>
                <wp:extent cx="2076450" cy="969010"/>
                <wp:effectExtent l="0" t="0" r="0" b="0"/>
                <wp:wrapNone/>
                <wp:docPr id="21" name="Frame3"/>
                <a:graphic xmlns:a="http://schemas.openxmlformats.org/drawingml/2006/main">
                  <a:graphicData uri="http://schemas.microsoft.com/office/word/2010/wordprocessingShape">
                    <wps:wsp>
                      <wps:cNvSpPr txBox="1"/>
                      <wps:spPr>
                        <a:xfrm>
                          <a:off x="0" y="0"/>
                          <a:ext cx="2076450" cy="969010"/>
                        </a:xfrm>
                        <a:prstGeom prst="rect"/>
                        <a:solidFill>
                          <a:srgbClr val="FFFFFF"/>
                        </a:solidFill>
                        <a:ln w="9525">
                          <a:solidFill>
                            <a:srgbClr val="000000"/>
                          </a:solidFill>
                        </a:ln>
                      </wps:spPr>
                      <wps:txbx>
                        <w:txbxContent>
                          <w:p>
                            <w:pPr>
                              <w:pStyle w:val="Normal"/>
                              <w:rPr/>
                            </w:pPr>
                            <w:r>
                              <w:rPr/>
                            </w:r>
                          </w:p>
                          <w:p>
                            <w:pPr>
                              <w:pStyle w:val="Normal"/>
                              <w:jc w:val="center"/>
                              <w:rPr>
                                <w:sz w:val="20"/>
                              </w:rPr>
                            </w:pPr>
                            <w:r>
                              <w:rPr>
                                <w:sz w:val="20"/>
                              </w:rPr>
                              <w:t>NDP</w:t>
                            </w:r>
                          </w:p>
                          <w:p>
                            <w:pPr>
                              <w:pStyle w:val="Normal"/>
                              <w:jc w:val="center"/>
                              <w:rPr>
                                <w:sz w:val="20"/>
                              </w:rPr>
                            </w:pPr>
                            <w:r>
                              <w:rPr>
                                <w:sz w:val="20"/>
                              </w:rPr>
                              <w:t>Affiliate 2</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76.3pt;mso-wrap-distance-left:9.05pt;mso-wrap-distance-right:9.05pt;mso-wrap-distance-top:0pt;mso-wrap-distance-bottom:0pt;margin-top:523.15pt;mso-position-vertical-relative:text;margin-left:-10.1pt;mso-position-horizontal-relative:text">
                <v:textbox>
                  <w:txbxContent>
                    <w:p>
                      <w:pPr>
                        <w:pStyle w:val="Normal"/>
                        <w:rPr/>
                      </w:pPr>
                      <w:r>
                        <w:rPr/>
                      </w:r>
                    </w:p>
                    <w:p>
                      <w:pPr>
                        <w:pStyle w:val="Normal"/>
                        <w:jc w:val="center"/>
                        <w:rPr>
                          <w:sz w:val="20"/>
                        </w:rPr>
                      </w:pPr>
                      <w:r>
                        <w:rPr>
                          <w:sz w:val="20"/>
                        </w:rPr>
                        <w:t>NDP</w:t>
                      </w:r>
                    </w:p>
                    <w:p>
                      <w:pPr>
                        <w:pStyle w:val="Normal"/>
                        <w:jc w:val="center"/>
                        <w:rPr>
                          <w:sz w:val="20"/>
                        </w:rPr>
                      </w:pPr>
                      <w:r>
                        <w:rPr>
                          <w:sz w:val="20"/>
                        </w:rPr>
                        <w:t>Affiliate 2</w:t>
                      </w:r>
                    </w:p>
                  </w:txbxContent>
                </v:textbox>
                <w10:wrap type="none"/>
              </v:rect>
            </w:pict>
          </mc:Fallback>
        </mc:AlternateContent>
      </w:r>
    </w:p>
    <w:p>
      <w:pPr>
        <w:pStyle w:val="Normal"/>
        <w:keepNext w:val="true"/>
        <w:tabs>
          <w:tab w:val="clear" w:pos="720"/>
          <w:tab w:val="left" w:pos="9360" w:leader="none"/>
        </w:tabs>
        <w:spacing w:before="240" w:after="0"/>
        <w:jc w:val="both"/>
        <w:rPr>
          <w:sz w:val="20"/>
        </w:rPr>
      </w:pPr>
      <w:r>
        <w:rPr>
          <w:sz w:val="20"/>
        </w:rPr>
      </w:r>
    </w:p>
    <w:p>
      <w:pPr>
        <w:pStyle w:val="Normal"/>
        <w:tabs>
          <w:tab w:val="clear" w:pos="720"/>
          <w:tab w:val="left" w:pos="9360" w:leader="none"/>
        </w:tabs>
        <w:jc w:val="both"/>
        <w:rPr>
          <w:sz w:val="22"/>
        </w:rPr>
      </w:pPr>
      <w:r>
        <w:rPr>
          <w:sz w:val="22"/>
        </w:rPr>
      </w:r>
    </w:p>
    <w:p>
      <w:pPr>
        <w:pStyle w:val="Normal"/>
        <w:tabs>
          <w:tab w:val="clear" w:pos="720"/>
          <w:tab w:val="left" w:pos="9360" w:leader="none"/>
        </w:tabs>
        <w:jc w:val="both"/>
        <w:rPr>
          <w:sz w:val="22"/>
        </w:rPr>
      </w:pPr>
      <w:r>
        <w:rPr>
          <w:sz w:val="22"/>
        </w:rPr>
      </w:r>
    </w:p>
    <w:p>
      <w:pPr>
        <w:pStyle w:val="Normal"/>
        <w:tabs>
          <w:tab w:val="clear" w:pos="720"/>
          <w:tab w:val="left" w:pos="9360" w:leader="none"/>
        </w:tabs>
        <w:jc w:val="both"/>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13">
                <wp:simplePos x="0" y="0"/>
                <wp:positionH relativeFrom="column">
                  <wp:posOffset>-62865</wp:posOffset>
                </wp:positionH>
                <wp:positionV relativeFrom="paragraph">
                  <wp:posOffset>2993390</wp:posOffset>
                </wp:positionV>
                <wp:extent cx="6400800" cy="356235"/>
                <wp:effectExtent l="0" t="0" r="0" b="0"/>
                <wp:wrapNone/>
                <wp:docPr id="22" name="Frame9"/>
                <a:graphic xmlns:a="http://schemas.openxmlformats.org/drawingml/2006/main">
                  <a:graphicData uri="http://schemas.microsoft.com/office/word/2010/wordprocessingShape">
                    <wps:wsp>
                      <wps:cNvSpPr txBox="1"/>
                      <wps:spPr>
                        <a:xfrm>
                          <a:off x="0" y="0"/>
                          <a:ext cx="6400800" cy="356235"/>
                        </a:xfrm>
                        <a:prstGeom prst="rect"/>
                        <a:solidFill>
                          <a:srgbClr val="FFFFFF"/>
                        </a:solidFill>
                      </wps:spPr>
                      <wps:txbx>
                        <w:txbxContent>
                          <w:p>
                            <w:pPr>
                              <w:pStyle w:val="Normal"/>
                              <w:jc w:val="center"/>
                              <w:rPr>
                                <w:b/>
                                <w:bCs/>
                                <w:sz w:val="32"/>
                              </w:rPr>
                            </w:pPr>
                            <w:r>
                              <w:rPr>
                                <w:b/>
                                <w:bCs/>
                                <w:sz w:val="32"/>
                              </w:rPr>
                              <w:t>SQUARE SETOFF</w:t>
                            </w:r>
                          </w:p>
                        </w:txbxContent>
                      </wps:txbx>
                      <wps:bodyPr anchor="t" lIns="92075" tIns="46355" rIns="92075" bIns="46355">
                        <a:noAutofit/>
                      </wps:bodyPr>
                    </wps:wsp>
                  </a:graphicData>
                </a:graphic>
              </wp:anchor>
            </w:drawing>
          </mc:Choice>
          <mc:Fallback>
            <w:pict>
              <v:rect fillcolor="#FFFFFF" style="position:absolute;rotation:-0;width:504pt;height:28.05pt;mso-wrap-distance-left:9.05pt;mso-wrap-distance-right:9.05pt;mso-wrap-distance-top:0pt;mso-wrap-distance-bottom:0pt;margin-top:235.7pt;mso-position-vertical-relative:text;margin-left:-4.95pt;mso-position-horizontal-relative:text">
                <v:textbox inset="0.100694444444444in,0.0506944444444444in,0.100694444444444in,0.0506944444444444in">
                  <w:txbxContent>
                    <w:p>
                      <w:pPr>
                        <w:pStyle w:val="Normal"/>
                        <w:jc w:val="center"/>
                        <w:rPr>
                          <w:b/>
                          <w:bCs/>
                          <w:sz w:val="32"/>
                        </w:rPr>
                      </w:pPr>
                      <w:r>
                        <w:rPr>
                          <w:b/>
                          <w:bCs/>
                          <w:sz w:val="32"/>
                        </w:rPr>
                        <w:t>SQUARE SETOFF</w:t>
                      </w:r>
                    </w:p>
                  </w:txbxContent>
                </v:textbox>
                <w10:wrap type="none"/>
              </v:rect>
            </w:pict>
          </mc:Fallback>
        </mc:AlternateContent>
      </w:r>
    </w:p>
    <w:sectPr>
      <w:footerReference w:type="default" r:id="rId3"/>
      <w:footerReference w:type="first" r:id="rId4"/>
      <w:footnotePr>
        <w:numFmt w:val="decimal"/>
      </w:footnotePr>
      <w:type w:val="nextPage"/>
      <w:pgSz w:w="12240" w:h="15840"/>
      <w:pgMar w:left="1440" w:right="1440" w:gutter="0" w:header="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w:hAnsi="Times" w:cs="Times"/>
        <w:caps/>
        <w:sz w:val="16"/>
      </w:rPr>
    </w:pPr>
    <w:r>
      <w:rPr>
        <w:rFonts w:cs="Times" w:ascii="Times" w:hAnsi="Times"/>
        <w:caps/>
        <w:sz w:val="16"/>
      </w:rPr>
      <w:fldChar w:fldCharType="begin"/>
    </w:r>
    <w:r>
      <w:rPr>
        <w:caps/>
        <w:sz w:val="16"/>
        <w:rFonts w:cs="Times" w:ascii="Times" w:hAnsi="Times"/>
      </w:rPr>
      <w:instrText xml:space="preserve"> FILENAME \p </w:instrText>
    </w:r>
    <w:r>
      <w:rPr>
        <w:caps/>
        <w:sz w:val="16"/>
        <w:rFonts w:cs="Times" w:ascii="Times" w:hAnsi="Times"/>
      </w:rPr>
      <w:fldChar w:fldCharType="separate"/>
    </w:r>
    <w:r>
      <w:rPr>
        <w:caps/>
        <w:sz w:val="16"/>
        <w:rFonts w:cs="Times" w:ascii="Times" w:hAnsi="Times"/>
      </w:rPr>
      <w:t>/mnt/main-storage/datasets/enron-docs/doc/SETOFF_MEMO.doc</w:t>
    </w:r>
    <w:r>
      <w:rPr>
        <w:caps/>
        <w:sz w:val="16"/>
        <w:rFonts w:cs="Times" w:ascii="Times" w:hAnsi="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rFonts w:ascii="Times" w:hAnsi="Times" w:cs="Times"/>
        <w:caps/>
        <w:sz w:val="16"/>
      </w:rPr>
    </w:pPr>
    <w:r>
      <w:rPr>
        <w:rFonts w:cs="Times" w:ascii="Times" w:hAnsi="Times"/>
        <w:caps/>
        <w:sz w:val="16"/>
      </w:rPr>
    </w:r>
  </w:p>
  <w:p>
    <w:pPr>
      <w:pStyle w:val="Footer"/>
      <w:tabs>
        <w:tab w:val="clear" w:pos="4320"/>
        <w:tab w:val="left" w:pos="2430" w:leader="none"/>
        <w:tab w:val="left" w:pos="5310" w:leader="none"/>
        <w:tab w:val="right" w:pos="8640" w:leader="none"/>
        <w:tab w:val="right" w:pos="10800" w:leader="none"/>
      </w:tabs>
      <w:rPr>
        <w:rFonts w:ascii="Times" w:hAnsi="Times" w:cs="Times"/>
        <w:b/>
        <w:caps/>
        <w:sz w:val="16"/>
      </w:rPr>
    </w:pPr>
    <w:r>
      <w:rPr>
        <w:rFonts w:cs="Times" w:ascii="Times" w:hAnsi="Times"/>
        <w:b/>
        <w:caps/>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rPr>
        <w:sz w:val="12"/>
      </w:rPr>
    </w:pPr>
    <w:r>
      <w:rPr>
        <w:sz w:val="12"/>
      </w:rPr>
    </w:r>
  </w:p>
  <w:p>
    <w:pPr>
      <w:pStyle w:val="Footer"/>
      <w:rPr>
        <w:sz w:val="16"/>
      </w:rPr>
    </w:pPr>
    <w:r>
      <w:rPr>
        <w:sz w:val="12"/>
      </w:rPr>
      <w:fldChar w:fldCharType="begin"/>
    </w:r>
    <w:r>
      <w:rPr>
        <w:sz w:val="12"/>
      </w:rPr>
      <w:instrText xml:space="preserve"> FILENAME \p </w:instrText>
    </w:r>
    <w:r>
      <w:rPr>
        <w:sz w:val="12"/>
      </w:rPr>
      <w:fldChar w:fldCharType="separate"/>
    </w:r>
    <w:r>
      <w:rPr>
        <w:sz w:val="12"/>
      </w:rPr>
      <w:t>/mnt/main-storage/datasets/enron-docs/doc/SETOFF_MEMO.doc</w:t>
    </w:r>
    <w:r>
      <w:rPr>
        <w:sz w:val="12"/>
      </w:rPr>
      <w:fldChar w:fldCharType="end"/>
    </w:r>
  </w:p>
  <w:p>
    <w:pPr>
      <w:pStyle w:val="Footer"/>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Note that CP Power Marketing Co. cannot (i) set off the $20,000,000 CP Power Marketing owes EPMI because EPMI is not the defaulting party, or (ii) set off any amount against the $15,000,000 EBS owes CP Broadband Co. because, again, EBS is not the defaulting party.   This type of setoff would require “square” setoff rights.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b/>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decimal"/>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o"/>
      <w:lvlJc w:val="start"/>
      <w:pPr>
        <w:tabs>
          <w:tab w:val="num" w:pos="720"/>
        </w:tabs>
        <w:ind w:start="234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color w:val="000000"/>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both"/>
      <w:outlineLvl w:val="4"/>
    </w:pPr>
    <w:rPr>
      <w:b/>
      <w:bCs/>
    </w:rPr>
  </w:style>
  <w:style w:type="paragraph" w:styleId="Heading6">
    <w:name w:val="heading 6"/>
    <w:basedOn w:val="Normal"/>
    <w:next w:val="Normal"/>
    <w:qFormat/>
    <w:pPr>
      <w:keepNext w:val="true"/>
      <w:numPr>
        <w:ilvl w:val="5"/>
        <w:numId w:val="1"/>
      </w:numPr>
      <w:jc w:val="both"/>
      <w:outlineLvl w:val="5"/>
    </w:pPr>
    <w:rPr>
      <w:i/>
    </w:rPr>
  </w:style>
  <w:style w:type="paragraph" w:styleId="Heading7">
    <w:name w:val="heading 7"/>
    <w:basedOn w:val="Normal"/>
    <w:next w:val="Normal"/>
    <w:qFormat/>
    <w:pPr>
      <w:keepNext w:val="true"/>
      <w:numPr>
        <w:ilvl w:val="6"/>
        <w:numId w:val="1"/>
      </w:numPr>
      <w:tabs>
        <w:tab w:val="clear" w:pos="720"/>
        <w:tab w:val="left" w:pos="1170" w:leader="none"/>
      </w:tabs>
      <w:autoSpaceDE w:val="false"/>
      <w:ind w:hanging="0" w:start="720" w:end="1260"/>
      <w:jc w:val="both"/>
      <w:outlineLvl w:val="6"/>
    </w:pPr>
    <w:rPr>
      <w:b/>
      <w:bCs/>
      <w:sz w:val="20"/>
      <w:szCs w:val="24"/>
      <w:u w:val="single"/>
    </w:rPr>
  </w:style>
  <w:style w:type="paragraph" w:styleId="Heading8">
    <w:name w:val="heading 8"/>
    <w:basedOn w:val="Normal"/>
    <w:next w:val="Normal"/>
    <w:qFormat/>
    <w:pPr>
      <w:keepNext w:val="true"/>
      <w:numPr>
        <w:ilvl w:val="7"/>
        <w:numId w:val="1"/>
      </w:numPr>
      <w:ind w:firstLine="360" w:start="0" w:end="0"/>
      <w:outlineLvl w:val="7"/>
    </w:pPr>
    <w:rPr>
      <w:b/>
      <w:bCs/>
      <w:sz w:val="20"/>
    </w:rPr>
  </w:style>
  <w:style w:type="paragraph" w:styleId="Heading9">
    <w:name w:val="heading 9"/>
    <w:basedOn w:val="Normal"/>
    <w:next w:val="Normal"/>
    <w:qFormat/>
    <w:pPr>
      <w:keepNext w:val="true"/>
      <w:numPr>
        <w:ilvl w:val="8"/>
        <w:numId w:val="1"/>
      </w:numPr>
      <w:outlineLvl w:val="8"/>
    </w:pPr>
    <w:rPr>
      <w:b/>
      <w:bCs/>
      <w:sz w:val="20"/>
    </w:rPr>
  </w:style>
  <w:style w:type="character" w:styleId="WW8Num1z0">
    <w:name w:val="WW8Num1z0"/>
    <w:qFormat/>
    <w:rPr>
      <w:b/>
    </w:rPr>
  </w:style>
  <w:style w:type="character" w:styleId="WW8Num2z0">
    <w:name w:val="WW8Num2z0"/>
    <w:qFormat/>
    <w:rPr>
      <w:i w:val="false"/>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rFonts w:ascii="Symbol" w:hAnsi="Symbol" w:cs="Symbol"/>
    </w:rPr>
  </w:style>
  <w:style w:type="character" w:styleId="WW8Num6z2">
    <w:name w:val="WW8Num6z2"/>
    <w:qFormat/>
    <w:rPr>
      <w:rFonts w:ascii="Courier New" w:hAnsi="Courier New" w:cs="Courier New"/>
    </w:rPr>
  </w:style>
  <w:style w:type="character" w:styleId="WW8Num6z3">
    <w:name w:val="WW8Num6z3"/>
    <w:qFormat/>
    <w:rPr>
      <w:rFonts w:ascii="Symbol" w:hAnsi="Symbol" w:cs="Symbol"/>
      <w:color w:val="000000"/>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Arial" w:hAnsi="Arial" w:cs="Arial"/>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s>
      <w:ind w:hanging="1440" w:start="1440" w:end="0"/>
      <w:jc w:val="both"/>
    </w:pPr>
    <w:rPr/>
  </w:style>
  <w:style w:type="paragraph" w:styleId="FootnoteText">
    <w:name w:val="footnote text"/>
    <w:basedOn w:val="Normal"/>
    <w:pPr/>
    <w:rPr>
      <w:sz w:val="20"/>
    </w:rPr>
  </w:style>
  <w:style w:type="paragraph" w:styleId="BlockText">
    <w:name w:val="Block Text"/>
    <w:basedOn w:val="Normal"/>
    <w:qFormat/>
    <w:pPr>
      <w:tabs>
        <w:tab w:val="clear" w:pos="720"/>
        <w:tab w:val="left" w:pos="540" w:leader="none"/>
        <w:tab w:val="left" w:pos="1170" w:leader="none"/>
        <w:tab w:val="left" w:pos="9720" w:leader="none"/>
      </w:tabs>
      <w:autoSpaceDE w:val="false"/>
      <w:spacing w:lineRule="exact" w:line="240"/>
      <w:ind w:hanging="0" w:start="720" w:end="1260"/>
      <w:jc w:val="both"/>
    </w:pPr>
    <w:rPr>
      <w:sz w:val="20"/>
      <w:szCs w:val="24"/>
    </w:rPr>
  </w:style>
  <w:style w:type="paragraph" w:styleId="BodyTextIndent2">
    <w:name w:val="Body Text Indent 2"/>
    <w:basedOn w:val="Normal"/>
    <w:qFormat/>
    <w:pPr>
      <w:spacing w:before="240" w:after="0"/>
      <w:ind w:hanging="0" w:start="360" w:end="0"/>
      <w:jc w:val="both"/>
    </w:pPr>
    <w:rPr>
      <w:sz w:val="20"/>
    </w:rPr>
  </w:style>
  <w:style w:type="paragraph" w:styleId="BodyText2">
    <w:name w:val="Body Text 2"/>
    <w:basedOn w:val="Normal"/>
    <w:qFormat/>
    <w:pPr>
      <w:tabs>
        <w:tab w:val="left" w:pos="720" w:leader="none"/>
        <w:tab w:val="left" w:pos="9360" w:leader="none"/>
      </w:tabs>
      <w:autoSpaceDE w:val="false"/>
      <w:jc w:val="both"/>
    </w:pPr>
    <w:rPr>
      <w:sz w:val="22"/>
      <w:szCs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2001-07-31T14:12:00Z</dcterms:created>
  <dc:creator>ECT</dc:creator>
  <dc:description/>
  <dc:language>en-CA</dc:language>
  <cp:lastModifiedBy>Harlan Murphy</cp:lastModifiedBy>
  <cp:lastPrinted>2001-08-08T10:20:00Z</cp:lastPrinted>
  <dcterms:modified xsi:type="dcterms:W3CDTF">2001-08-08T20:06:00Z</dcterms:modified>
  <cp:revision>18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