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SERVICING GUIDELINES</w:t>
      </w:r>
    </w:p>
    <w:p>
      <w:pPr>
        <w:pStyle w:val="Normal"/>
        <w:jc w:val="center"/>
        <w:rPr>
          <w:b/>
          <w:bCs/>
          <w:u w:val="single"/>
        </w:rPr>
      </w:pPr>
      <w:r>
        <w:rPr>
          <w:b/>
          <w:bCs/>
          <w:u w:val="single"/>
        </w:rPr>
      </w:r>
    </w:p>
    <w:p>
      <w:pPr>
        <w:pStyle w:val="Normal"/>
        <w:spacing w:before="0" w:after="240"/>
        <w:ind w:firstLine="720" w:end="0"/>
        <w:jc w:val="both"/>
        <w:rPr/>
      </w:pPr>
      <w:r>
        <w:rPr/>
        <w:t>1.</w:t>
        <w:tab/>
      </w:r>
      <w:r>
        <w:rPr>
          <w:u w:val="single"/>
        </w:rPr>
        <w:t>Administration</w:t>
      </w:r>
      <w:r>
        <w:rPr/>
        <w:t>.  The Servicer shall monitor the performance of all of the Assets on an ongoing basis in accordance with the Servicer’s customary procedures for assets similar to the Assets.</w:t>
      </w:r>
    </w:p>
    <w:p>
      <w:pPr>
        <w:pStyle w:val="Normal"/>
        <w:spacing w:before="0" w:after="240"/>
        <w:ind w:firstLine="720" w:end="0"/>
        <w:jc w:val="both"/>
        <w:rPr/>
      </w:pPr>
      <w:r>
        <w:rPr/>
        <w:t>2.</w:t>
        <w:tab/>
      </w:r>
      <w:r>
        <w:rPr>
          <w:u w:val="single"/>
        </w:rPr>
        <w:t>Asset Sales</w:t>
      </w:r>
      <w:r>
        <w:rPr/>
        <w:t>.  The Servicer may direct Holdings I LP to sell and may sell on Holdings I LP’s behalf any Asset, subject to the following limitations:</w:t>
      </w:r>
    </w:p>
    <w:p>
      <w:pPr>
        <w:pStyle w:val="Normal"/>
        <w:spacing w:before="0" w:after="240"/>
        <w:ind w:firstLine="720" w:start="720" w:end="0"/>
        <w:jc w:val="both"/>
        <w:rPr/>
      </w:pPr>
      <w:r>
        <w:rPr/>
        <w:t>(i)</w:t>
        <w:tab/>
        <w:t>The Servicer shall cause any such sale to be conducted on an arms’ length basis or on terms that, in the Servicer’s reasonable judgment, would be obtained in an arms’ length transaction.</w:t>
      </w:r>
    </w:p>
    <w:p>
      <w:pPr>
        <w:pStyle w:val="Normal"/>
        <w:spacing w:before="0" w:after="240"/>
        <w:ind w:firstLine="720" w:start="720" w:end="0"/>
        <w:jc w:val="both"/>
        <w:rPr/>
      </w:pPr>
      <w:r>
        <w:rPr/>
        <w:t>(ii)</w:t>
        <w:tab/>
        <w:t>All such sales by the Servicer on behalf of Holdings I LP shall be in accordance with reasonable and customary business practices and in compliance with applicable Legal Requirements.</w:t>
      </w:r>
    </w:p>
    <w:p>
      <w:pPr>
        <w:pStyle w:val="Normal"/>
        <w:spacing w:before="0" w:after="240"/>
        <w:ind w:firstLine="720" w:start="720" w:end="0"/>
        <w:jc w:val="both"/>
        <w:rPr/>
      </w:pPr>
      <w:r>
        <w:rPr/>
        <w:t>(iii)</w:t>
        <w:tab/>
        <w:t>The Servicer shall seek to obtain the best prices for all such sales, considering all circumstances.  Holdings I LP acknowledges that such determination by the Servicer is subjective and represents the Servicer’s determination, at the time of sale, that Holdings I LP will be benefited by relatively better sales prices, lower expenses and beneficial timing of transactions or a combination of these and other factors.</w:t>
      </w:r>
    </w:p>
    <w:p>
      <w:pPr>
        <w:pStyle w:val="Normal"/>
        <w:spacing w:before="0" w:after="240"/>
        <w:ind w:firstLine="720" w:start="720" w:end="0"/>
        <w:jc w:val="both"/>
        <w:rPr/>
      </w:pPr>
      <w:r>
        <w:rPr/>
        <w:t>(iv)</w:t>
        <w:tab/>
        <w:t xml:space="preserve">Neither the Servicer nor any Affiliate of the Servicer shall purchase any such Asset, unless such Asset is a Defaulted Asset or a Credit Risk Asset.  </w:t>
      </w:r>
    </w:p>
    <w:p>
      <w:pPr>
        <w:pStyle w:val="Normal"/>
        <w:spacing w:before="0" w:after="240"/>
        <w:ind w:firstLine="720" w:start="720" w:end="0"/>
        <w:jc w:val="both"/>
        <w:rPr/>
      </w:pPr>
      <w:r>
        <w:rPr/>
        <w:t>(v)</w:t>
        <w:tab/>
        <w:t>The Servicer shall not, without the consent of the limited partner of Holdings I LP that holds the 2000-11 Asset Pool Tracking LP Interest, sell any such Asset for a cash amount less than (or exchange any such Asset for another Asset with a Fair Value less than) the greater of (A) the Fair Value of such original Asset at the time of sale and (B) a cash amount that would result, by virtue of the distribution provisions of the Holdings I Limited Partnership Agreement and the Holdings II Limited Partnership Agreement, in Newco’s receiving proceeds equal to the Adjusted Value of such Asset  In the event of any partial sale of any Asset, the restrictions of this Paragraph 2(v) shall apply, pro rata, based on the Fair Value of the portion of the Asset sold.</w:t>
      </w:r>
    </w:p>
    <w:p>
      <w:pPr>
        <w:pStyle w:val="Normal"/>
        <w:spacing w:before="0" w:after="240"/>
        <w:ind w:firstLine="720" w:start="720" w:end="0"/>
        <w:jc w:val="both"/>
        <w:rPr>
          <w:b/>
          <w:bCs/>
        </w:rPr>
      </w:pPr>
      <w:r>
        <w:rPr/>
        <w:t>(vi)</w:t>
        <w:tab/>
        <w:t>The Servicer shall not, without the consent of the limited partner of Holdings I LP that holds the 2000-11 Asset Pool Tracking Interest, exchange any such Asset for another Asset with a Fair Value less than the greater of (A) the Fair Value of such original Asset at the time of exchange and (B) assuming an immediate sale of the Asset received in exchange, cash proceeds from such sale that would result, by virtue of the distribution provisions of the Holdings I LP and Holdings II LP partnership agreements, in Newco's receiving proceeds equal to the Adjusted Value of such Asset.  In the event of any partial exchange of any Asset, the restrictions of this Paragraph 2(vi) shall apply, pro rata, based on the Fair Value of the portion of the Asset exchanged.</w:t>
      </w:r>
    </w:p>
    <w:p>
      <w:pPr>
        <w:pStyle w:val="Normal"/>
        <w:spacing w:before="0" w:after="240"/>
        <w:ind w:firstLine="720" w:start="720" w:end="0"/>
        <w:jc w:val="both"/>
        <w:rPr/>
      </w:pPr>
      <w:r>
        <w:rPr/>
        <w:t>(vii)</w:t>
        <w:tab/>
        <w:t>The Fair Value of any such Asset shall be determined from the best available market information.</w:t>
      </w:r>
    </w:p>
    <w:p>
      <w:pPr>
        <w:pStyle w:val="Normal"/>
        <w:spacing w:before="0" w:after="240"/>
        <w:ind w:firstLine="720" w:end="0"/>
        <w:jc w:val="both"/>
        <w:rPr/>
      </w:pPr>
      <w:r>
        <w:rPr/>
        <w:t>3.</w:t>
        <w:tab/>
      </w:r>
      <w:r>
        <w:rPr>
          <w:u w:val="single"/>
        </w:rPr>
        <w:t>Funding Commitments</w:t>
      </w:r>
      <w:r>
        <w:rPr/>
        <w:t>.  The Servicer shall notify and advise Holdings I LP with respect to any Funding Amount required or permitted to be advanced in respect of any Asset at least twelve (12) Business Days prior to the date such advance is to be made.  For any such advance that Holdings I LP determines to make, if requested by Holdings I LP, the Servicer shall see to the proper application of all funds provided by Holdings I LP, so long as Holdings I LP provides such funds to the Servicer at least one Business Day prior to the date such advance is to be made.</w:t>
      </w:r>
    </w:p>
    <w:p>
      <w:pPr>
        <w:pStyle w:val="Normal"/>
        <w:spacing w:before="0" w:after="240"/>
        <w:ind w:firstLine="720" w:end="0"/>
        <w:jc w:val="both"/>
        <w:rPr/>
      </w:pPr>
      <w:r>
        <w:rPr/>
        <w:t>4.</w:t>
        <w:tab/>
      </w:r>
      <w:r>
        <w:rPr>
          <w:u w:val="single"/>
        </w:rPr>
        <w:t>Modifications</w:t>
      </w:r>
      <w:r>
        <w:rPr/>
        <w:t>.  The Servicer may agree to any modification, waiver or amendment of any term of, forgive payments in respect of, capitalize interest on, permit the release, addition or substitution of collateral securing, and/or permit the release of the Relevant Party on or any guarantor of any obligation under an Asset (a “</w:t>
      </w:r>
      <w:r>
        <w:rPr>
          <w:bCs/>
        </w:rPr>
        <w:t>Modification</w:t>
      </w:r>
      <w:r>
        <w:rPr/>
        <w:t>”) without the consent of Holdings I LP, subject, however, to each of the following limitations, conditions and restrictions:</w:t>
      </w:r>
    </w:p>
    <w:p>
      <w:pPr>
        <w:pStyle w:val="Body0510P"/>
        <w:ind w:start="720" w:end="0"/>
        <w:rPr>
          <w:sz w:val="24"/>
        </w:rPr>
      </w:pPr>
      <w:r>
        <w:rPr>
          <w:sz w:val="24"/>
        </w:rPr>
        <w:t>(i)</w:t>
        <w:tab/>
        <w:t>The Servicer may not agree to any Modification that would adversely affect the amount or timing of any related payment of any amount payable thereunder or, in the Servicer’s good faith and reasonable judgment, would materially impair any security for such Asset or reduce the likelihood of timely payment of amounts due thereon, unless, in the Servicer’s judgment, a material default on such Asset has occurred or a default in respect of payment on such Asset is reasonably foreseeable, and such modification, waiver, amendment or other action is reasonably likely to reduce the likelihood of a material default or produce a greater recovery on a present value basis than would liquidation;</w:t>
      </w:r>
    </w:p>
    <w:p>
      <w:pPr>
        <w:pStyle w:val="Body0510P"/>
        <w:ind w:start="720" w:end="0"/>
        <w:rPr>
          <w:sz w:val="24"/>
        </w:rPr>
      </w:pPr>
      <w:r>
        <w:rPr>
          <w:sz w:val="24"/>
        </w:rPr>
        <w:t>(ii)</w:t>
        <w:tab/>
        <w:t>The Servicer may not extend the time for payment of any amount due in respect of such Asset, unless, in the Servicer’s judgment, a material default on such Asset has occurred or a default in respect of payment on such Asset is reasonably foreseeable, and such modification, waiver, amendment or other action is reasonably likely to reduce the likelihood of a material default or produce a greater recovery on a present value basis than would liquidation; and</w:t>
      </w:r>
    </w:p>
    <w:p>
      <w:pPr>
        <w:pStyle w:val="Body0510P"/>
        <w:ind w:start="720" w:end="0"/>
        <w:rPr>
          <w:sz w:val="24"/>
        </w:rPr>
      </w:pPr>
      <w:r>
        <w:rPr>
          <w:sz w:val="24"/>
        </w:rPr>
        <w:t>(iii)</w:t>
        <w:tab/>
        <w:t>The Servicer will not permit any Relevant Party in respect of an Asset to add or substitute any collateral for an outstanding obligation, which collateral constitutes real property, unless the Servicer shall have first determined, in its good faith and reasonable judgment, based upon such investigation and evaluation as would be required by underwriting standards customarily employed by commercial lenders in the applicable industry, that such additional or substitute collateral is in compliance with applicable environmental laws and regulations and that there are no circumstances or conditions present with respect to such new collateral relating to the use, management or disposal of any hazardous materials for which investigation, testing, monitoring, containment, clean</w:t>
        <w:noBreakHyphen/>
        <w:t>up or remediation would be required under any then applicable environmental laws and/or regulations;</w:t>
      </w:r>
    </w:p>
    <w:p>
      <w:pPr>
        <w:pStyle w:val="Normal"/>
        <w:spacing w:before="0" w:after="240"/>
        <w:jc w:val="both"/>
        <w:rPr/>
      </w:pPr>
      <w:r>
        <w:rPr>
          <w:i/>
          <w:iCs/>
        </w:rPr>
        <w:t>provided</w:t>
      </w:r>
      <w:r>
        <w:rPr/>
        <w:t xml:space="preserve"> that (x) the limitations, conditions and restrictions set forth above will not apply to any Modification of any term of any Asset that is required under the terms of such Asset in effect on the Closing Date or that is solely within the control of the related Relevant Party, and (y) notwithstanding clauses (i) through (iii) above, the Servicer will not be required to oppose the confirmation of a plan in any bankruptcy or similar proceeding involving a Relevant Party if in its reasonable and good faith judgment such opposition would not ultimately prevent the confirmation of such plan or one substantially similar.</w:t>
      </w:r>
    </w:p>
    <w:p>
      <w:pPr>
        <w:pStyle w:val="Normal"/>
        <w:spacing w:before="0" w:after="240"/>
        <w:jc w:val="both"/>
        <w:rPr/>
      </w:pPr>
      <w:r>
        <w:rPr>
          <w:b/>
          <w:bCs/>
        </w:rPr>
        <w:tab/>
      </w:r>
      <w:r>
        <w:rPr/>
        <w:t>5.</w:t>
        <w:tab/>
      </w:r>
      <w:r>
        <w:rPr>
          <w:u w:val="single"/>
        </w:rPr>
        <w:t>Quarterly Reports</w:t>
      </w:r>
      <w:r>
        <w:rPr/>
        <w:t>.  The Servicer will prepare a Quarterly Report setting forth the information required therein for each Asset, effective as of each March 31, June 30, September 30, and December 31 of each calendar year and will deliver such Quarterly Report to Holdings I LP not later than eight (8) Business Days after the last day of such calendar quarter.  By way of example and not by way of limitation, the Servicer will prepare a Quarterly Report for the first calendar quarter in 2001, containing information for each Asset as of March 30, 2001 and will deliver such Quarterly Report to Holdings I LP not later than April 11, 2001.</w:t>
      </w:r>
    </w:p>
    <w:p>
      <w:pPr>
        <w:pStyle w:val="Normal"/>
        <w:rPr/>
      </w:pPr>
      <w:r>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fldChar w:fldCharType="begin"/>
    </w:r>
    <w:r>
      <w:rPr>
        <w:rStyle w:val="zzmpTrailerItem"/>
      </w:rPr>
      <w:instrText xml:space="preserve"> FILENAME </w:instrText>
    </w:r>
    <w:r>
      <w:rPr>
        <w:rStyle w:val="zzmpTrailerItem"/>
      </w:rPr>
      <w:fldChar w:fldCharType="separate"/>
    </w:r>
    <w:r>
      <w:rPr>
        <w:rStyle w:val="zzmpTrailerItem"/>
      </w:rPr>
      <w:t>SERVICING_GUIDELINES.doc</w:t>
    </w:r>
    <w:r>
      <w:rPr>
        <w:rStyle w:val="zzmpTrailerItem"/>
      </w:rPr>
      <w:fldChar w:fldCharType="end"/>
    </w:r>
    <w:r>
      <w:rPr/>
      <w:t xml:space="preserve"> </w:t>
    </w:r>
    <w:r>
      <w:rPr/>
      <w:tab/>
    </w:r>
    <w:r>
      <w:rPr>
        <w:sz w:val="18"/>
      </w:rPr>
      <w:t>Schedule II-</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smallCaps/>
      <w:color w:val="800000"/>
      <w:sz w:val="16"/>
      <w:u w:val="no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0"/>
    </w:rPr>
  </w:style>
  <w:style w:type="paragraph" w:styleId="Body0510P">
    <w:name w:val="_Body 0.5&quot; 10P"/>
    <w:basedOn w:val="Normal"/>
    <w:qFormat/>
    <w:pPr>
      <w:suppressAutoHyphens w:val="true"/>
      <w:spacing w:before="0" w:after="240"/>
      <w:ind w:firstLine="72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2001-02-20T16:30:00Z</dcterms:created>
  <dc:creator>mheinit</dc:creator>
  <dc:description/>
  <dc:language>en-CA</dc:language>
  <cp:lastModifiedBy>mheinit</cp:lastModifiedBy>
  <dcterms:modified xsi:type="dcterms:W3CDTF">2001-02-20T16:30:00Z</dcterms:modified>
  <cp:revision>1</cp:revision>
  <dc:subject/>
  <dc:title>SERVICING GUIDELINES</dc:title>
</cp:coreProperties>
</file>