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“1”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MTG Operating Company and Michael T. Guthrie (collectively the “</w:t>
            </w:r>
            <w:r>
              <w:rPr>
                <w:u w:val="single"/>
              </w:rPr>
              <w:t>Producer</w:t>
            </w:r>
            <w:r>
              <w:rPr/>
              <w:t>”) dated October 22,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the Gathering Fee, and the provisions of Section 2  Nomination and Scheduling and Section 3 Contract Balancing all as specified in the Gathering Agreement)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p>
            <w:pPr>
              <w:pStyle w:val="Normal"/>
              <w:jc w:val="both"/>
              <w:rPr/>
            </w:pPr>
            <w:r>
              <w:rPr/>
              <w:t xml:space="preserve">Customer shall perform netting services as set forth in that certain Compression Administration Agreement of Seller dated February 24, 2000.  This netting service to be terminable upon 60 days notice.  </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2000-09-14T18:11:00Z</dcterms:created>
  <dc:creator>sdaniel</dc:creator>
  <dc:description/>
  <dc:language>en-CA</dc:language>
  <cp:lastModifiedBy>sdaniel</cp:lastModifiedBy>
  <cp:lastPrinted>2000-08-26T12:50:00Z</cp:lastPrinted>
  <dcterms:modified xsi:type="dcterms:W3CDTF">2000-09-14T18:11:00Z</dcterms:modified>
  <cp:revision>3</cp:revision>
  <dc:subject/>
  <dc:title>SERVICE SCHEDULE</dc:title>
</cp:coreProperties>
</file>