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 xml:space="preserve">This Agreement is entered into on this </w:t>
      </w:r>
      <w:del w:id="0" w:author="gnemec" w:date="1999-05-14T10:35:00Z">
        <w:r>
          <w:rPr>
            <w:rFonts w:cs="Times New Roman" w:ascii="Times New Roman" w:hAnsi="Times New Roman"/>
          </w:rPr>
          <w:delText>10</w:delText>
        </w:r>
      </w:del>
      <w:del w:id="1" w:author="gnemec" w:date="1999-05-14T10:35:00Z">
        <w:r>
          <w:rPr>
            <w:rFonts w:cs="Times New Roman" w:ascii="Times New Roman" w:hAnsi="Times New Roman"/>
            <w:vertAlign w:val="superscript"/>
          </w:rPr>
          <w:delText>th</w:delText>
        </w:r>
      </w:del>
      <w:ins w:id="2" w:author="gnemec" w:date="1999-05-14T10:35:00Z">
        <w:r>
          <w:rPr>
            <w:rFonts w:cs="Times New Roman" w:ascii="Times New Roman" w:hAnsi="Times New Roman"/>
          </w:rPr>
          <w:t>_____</w:t>
        </w:r>
      </w:ins>
      <w:r>
        <w:rPr>
          <w:rFonts w:cs="Times New Roman" w:ascii="Times New Roman" w:hAnsi="Times New Roman"/>
        </w:rPr>
        <w:t xml:space="preserve"> day of May, 1999, by and between </w:t>
      </w:r>
      <w:del w:id="3" w:author="gnemec" w:date="1999-05-14T10:35:00Z">
        <w:r>
          <w:rPr>
            <w:rFonts w:cs="Times New Roman" w:ascii="Times New Roman" w:hAnsi="Times New Roman"/>
            <w:b/>
          </w:rPr>
          <w:delText>ENRON CORP.</w:delText>
        </w:r>
      </w:del>
      <w:del w:id="4" w:author="gnemec" w:date="1999-05-14T10:35:00Z">
        <w:r>
          <w:rPr>
            <w:rFonts w:cs="Times New Roman" w:ascii="Times New Roman" w:hAnsi="Times New Roman"/>
          </w:rPr>
          <w:delText>,</w:delText>
        </w:r>
      </w:del>
      <w:ins w:id="5" w:author="gnemec" w:date="1999-05-14T10:35:00Z">
        <w:r>
          <w:rPr>
            <w:rFonts w:cs="Times New Roman" w:ascii="Times New Roman" w:hAnsi="Times New Roman"/>
            <w:b/>
          </w:rPr>
          <w:t>HOUSTON PIPE LINE COMPANY</w:t>
        </w:r>
      </w:ins>
      <w:ins w:id="6" w:author="gnemec" w:date="1999-05-14T10:35:00Z">
        <w:r>
          <w:rPr>
            <w:rFonts w:cs="Times New Roman" w:ascii="Times New Roman" w:hAnsi="Times New Roman"/>
          </w:rPr>
          <w:t>,</w:t>
        </w:r>
      </w:ins>
      <w:r>
        <w:rPr>
          <w:rFonts w:cs="Times New Roman" w:ascii="Times New Roman" w:hAnsi="Times New Roman"/>
        </w:rPr>
        <w:t xml:space="preserve"> a Delaware corporation, hereinafter referred to as </w:t>
      </w:r>
      <w:del w:id="7" w:author="gnemec" w:date="1999-05-14T10:35:00Z">
        <w:r>
          <w:rPr>
            <w:rFonts w:cs="Times New Roman" w:ascii="Times New Roman" w:hAnsi="Times New Roman"/>
          </w:rPr>
          <w:delText>"Contracting Party"</w:delText>
        </w:r>
      </w:del>
      <w:ins w:id="8" w:author="gnemec" w:date="1999-05-14T10:35:00Z">
        <w:r>
          <w:rPr>
            <w:rFonts w:cs="Times New Roman" w:ascii="Times New Roman" w:hAnsi="Times New Roman"/>
          </w:rPr>
          <w:t>"HPL"</w:t>
        </w:r>
      </w:ins>
      <w:r>
        <w:rPr>
          <w:rFonts w:cs="Times New Roman" w:ascii="Times New Roman" w:hAnsi="Times New Roman"/>
        </w:rPr>
        <w:t xml:space="preserve"> and </w:t>
      </w:r>
      <w:r>
        <w:rPr>
          <w:rFonts w:cs="Times New Roman" w:ascii="Times New Roman" w:hAnsi="Times New Roman"/>
          <w:b/>
        </w:rPr>
        <w:t>GREGG &amp; REY ENGINEERING CONSULTANTS, INC.</w:t>
      </w:r>
      <w:r>
        <w:rPr>
          <w:rFonts w:cs="Times New Roman" w:ascii="Times New Roman" w:hAnsi="Times New Roman"/>
        </w:rPr>
        <w:t>, a Texas Corporation, hereinafter referred to as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xml:space="preserve">, </w:t>
      </w:r>
      <w:del w:id="9" w:author="gnemec" w:date="1999-05-14T10:35:00Z">
        <w:r>
          <w:rPr>
            <w:rFonts w:cs="Times New Roman" w:ascii="Times New Roman" w:hAnsi="Times New Roman"/>
          </w:rPr>
          <w:delText>Contracting Party</w:delText>
        </w:r>
      </w:del>
      <w:ins w:id="10" w:author="gnemec" w:date="1999-05-14T10:35:00Z">
        <w:r>
          <w:rPr>
            <w:rFonts w:cs="Times New Roman" w:ascii="Times New Roman" w:hAnsi="Times New Roman"/>
          </w:rPr>
          <w:t>HPL</w:t>
        </w:r>
      </w:ins>
      <w:r>
        <w:rPr>
          <w:rFonts w:cs="Times New Roman" w:ascii="Times New Roman" w:hAnsi="Times New Roman"/>
        </w:rPr>
        <w:t xml:space="preserve"> desires to contract with Independent Contractor for the performance of certain </w:t>
      </w:r>
      <w:del w:id="11" w:author="gnemec" w:date="1999-05-14T10:35:00Z">
        <w:r>
          <w:rPr>
            <w:rFonts w:cs="Times New Roman" w:ascii="Times New Roman" w:hAnsi="Times New Roman"/>
          </w:rPr>
          <w:delText>services</w:delText>
        </w:r>
      </w:del>
      <w:ins w:id="12" w:author="gnemec" w:date="1999-05-14T10:35:00Z">
        <w:r>
          <w:rPr>
            <w:rFonts w:cs="Times New Roman" w:ascii="Times New Roman" w:hAnsi="Times New Roman"/>
          </w:rPr>
          <w:t>Services (hereafter defined)</w:t>
        </w:r>
      </w:ins>
      <w:r>
        <w:rPr>
          <w:rFonts w:cs="Times New Roman" w:ascii="Times New Roman" w:hAnsi="Times New Roman"/>
        </w:rPr>
        <w:t xml:space="preserve"> pursuant to the terms and conditions set out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xml:space="preserve">, Independent Contractor agrees to perform certain </w:t>
      </w:r>
      <w:del w:id="13" w:author="gnemec" w:date="1999-05-14T10:35:00Z">
        <w:r>
          <w:rPr>
            <w:rFonts w:cs="Times New Roman" w:ascii="Times New Roman" w:hAnsi="Times New Roman"/>
          </w:rPr>
          <w:delText>services for Contracting Party</w:delText>
        </w:r>
      </w:del>
      <w:ins w:id="14" w:author="gnemec" w:date="1999-05-14T10:35:00Z">
        <w:r>
          <w:rPr>
            <w:rFonts w:cs="Times New Roman" w:ascii="Times New Roman" w:hAnsi="Times New Roman"/>
          </w:rPr>
          <w:t>Services for HPL and its affiliates</w:t>
        </w:r>
      </w:ins>
      <w:r>
        <w:rPr>
          <w:rFonts w:cs="Times New Roman" w:ascii="Times New Roman" w:hAnsi="Times New Roman"/>
        </w:rPr>
        <w:t xml:space="preserve"> pursuant to the terms and conditions set out herein;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NOW, THEREFORE</w:t>
      </w:r>
      <w:r>
        <w:rPr>
          <w:rFonts w:cs="Times New Roman" w:ascii="Times New Roman" w:hAnsi="Times New Roman"/>
        </w:rPr>
        <w:t>, in consideration of the mutual covenants and agreements herein set forth, the parties hereto do hereby agree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rPr>
      </w:pPr>
      <w:r>
        <w:rPr>
          <w:rFonts w:cs="Times New Roman" w:ascii="Times New Roman" w:hAnsi="Times New Roman"/>
          <w:b/>
        </w:rPr>
        <w:t>SCOPE OF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b/>
        </w:rPr>
        <w:t>LIMITATIONS OF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1.01</w:t>
        <w:tab/>
        <w:t xml:space="preserve">Independent Contractor agrees to perform those services </w:t>
      </w:r>
      <w:ins w:id="15" w:author="gnemec" w:date="1999-05-14T10:35:00Z">
        <w:r>
          <w:rPr>
            <w:rFonts w:cs="Times New Roman" w:ascii="Times New Roman" w:hAnsi="Times New Roman"/>
          </w:rPr>
          <w:t xml:space="preserve">to accomplish the scope of work as </w:t>
        </w:r>
      </w:ins>
      <w:r>
        <w:rPr>
          <w:rFonts w:cs="Times New Roman" w:ascii="Times New Roman" w:hAnsi="Times New Roman"/>
        </w:rPr>
        <w:t xml:space="preserve">set out in Exhibit "A" attached hereto and incorporated herein for all intents and purposes along with any additional services </w:t>
      </w:r>
      <w:del w:id="16" w:author="gnemec" w:date="1999-05-14T10:35:00Z">
        <w:r>
          <w:rPr>
            <w:rFonts w:cs="Times New Roman" w:ascii="Times New Roman" w:hAnsi="Times New Roman"/>
          </w:rPr>
          <w:delText>necessary</w:delText>
        </w:r>
      </w:del>
      <w:ins w:id="17" w:author="gnemec" w:date="1999-05-14T10:35:00Z">
        <w:r>
          <w:rPr>
            <w:rFonts w:cs="Times New Roman" w:ascii="Times New Roman" w:hAnsi="Times New Roman"/>
          </w:rPr>
          <w:t>as directed by HPL</w:t>
        </w:r>
      </w:ins>
      <w:r>
        <w:rPr>
          <w:rFonts w:cs="Times New Roman" w:ascii="Times New Roman" w:hAnsi="Times New Roman"/>
        </w:rPr>
        <w:t xml:space="preserve"> to complete such </w:t>
      </w:r>
      <w:del w:id="18" w:author="gnemec" w:date="1999-05-14T10:35:00Z">
        <w:r>
          <w:rPr>
            <w:rFonts w:cs="Times New Roman" w:ascii="Times New Roman" w:hAnsi="Times New Roman"/>
          </w:rPr>
          <w:delText>services.</w:delText>
        </w:r>
      </w:del>
      <w:ins w:id="19" w:author="gnemec" w:date="1999-05-14T10:35:00Z">
        <w:r>
          <w:rPr>
            <w:rFonts w:cs="Times New Roman" w:ascii="Times New Roman" w:hAnsi="Times New Roman"/>
          </w:rPr>
          <w:t>scope of work (the "Services").</w:t>
        </w:r>
      </w:ins>
    </w:p>
    <w:p>
      <w:pPr>
        <w:pStyle w:val="Normal"/>
        <w:tabs>
          <w:tab w:val="left" w:pos="720" w:leader="none"/>
          <w:tab w:val="left" w:pos="14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1.02</w:t>
        <w:tab/>
        <w:t xml:space="preserve">In the performance of </w:t>
      </w:r>
      <w:del w:id="20" w:author="gnemec" w:date="1999-05-14T10:35:00Z">
        <w:r>
          <w:rPr>
            <w:rFonts w:cs="Times New Roman" w:ascii="Times New Roman" w:hAnsi="Times New Roman"/>
          </w:rPr>
          <w:delText>this work, duties and obligations</w:delText>
        </w:r>
      </w:del>
      <w:ins w:id="21" w:author="gnemec" w:date="1999-05-14T10:35:00Z">
        <w:r>
          <w:rPr>
            <w:rFonts w:cs="Times New Roman" w:ascii="Times New Roman" w:hAnsi="Times New Roman"/>
          </w:rPr>
          <w:t>the Services</w:t>
        </w:r>
      </w:ins>
      <w:r>
        <w:rPr>
          <w:rFonts w:cs="Times New Roman" w:ascii="Times New Roman" w:hAnsi="Times New Roman"/>
        </w:rPr>
        <w:t xml:space="preserve"> hereunder, it is mutually understood and agreed that said Independent Contractor shall not be considered an employee of </w:t>
      </w:r>
      <w:del w:id="22" w:author="gnemec" w:date="1999-05-14T10:35:00Z">
        <w:r>
          <w:rPr>
            <w:rFonts w:cs="Times New Roman" w:ascii="Times New Roman" w:hAnsi="Times New Roman"/>
          </w:rPr>
          <w:delText>Contracting Party.</w:delText>
        </w:r>
      </w:del>
      <w:ins w:id="23" w:author="gnemec" w:date="1999-05-14T10:35:00Z">
        <w:r>
          <w:rPr>
            <w:rFonts w:cs="Times New Roman" w:ascii="Times New Roman" w:hAnsi="Times New Roman"/>
          </w:rPr>
          <w:t>HPL.</w:t>
        </w:r>
      </w:ins>
      <w:r>
        <w:rPr>
          <w:rFonts w:cs="Times New Roman" w:ascii="Times New Roman" w:hAnsi="Times New Roman"/>
        </w:rPr>
        <w:t xml:space="preserve">  Accordingly </w:t>
      </w:r>
      <w:del w:id="24" w:author="gnemec" w:date="1999-05-14T10:35:00Z">
        <w:r>
          <w:rPr>
            <w:rFonts w:cs="Times New Roman" w:ascii="Times New Roman" w:hAnsi="Times New Roman"/>
          </w:rPr>
          <w:delText>the Contracting Party</w:delText>
        </w:r>
      </w:del>
      <w:ins w:id="25" w:author="gnemec" w:date="1999-05-14T10:35:00Z">
        <w:r>
          <w:rPr>
            <w:rFonts w:cs="Times New Roman" w:ascii="Times New Roman" w:hAnsi="Times New Roman"/>
          </w:rPr>
          <w:t>HPL</w:t>
        </w:r>
      </w:ins>
      <w:r>
        <w:rPr>
          <w:rFonts w:cs="Times New Roman" w:ascii="Times New Roman" w:hAnsi="Times New Roman"/>
        </w:rPr>
        <w:t xml:space="preserve"> shall not have any control, direction or dominion over the Independent Contractor other than the terms of this Agreement; provided however, that the Independent Contractor shall be responsible for performing the </w:t>
      </w:r>
      <w:del w:id="26" w:author="gnemec" w:date="1999-05-14T10:35:00Z">
        <w:r>
          <w:rPr>
            <w:rFonts w:cs="Times New Roman" w:ascii="Times New Roman" w:hAnsi="Times New Roman"/>
          </w:rPr>
          <w:delText>services</w:delText>
        </w:r>
      </w:del>
      <w:ins w:id="27" w:author="gnemec" w:date="1999-05-14T10:35:00Z">
        <w:r>
          <w:rPr>
            <w:rFonts w:cs="Times New Roman" w:ascii="Times New Roman" w:hAnsi="Times New Roman"/>
          </w:rPr>
          <w:t>Services</w:t>
        </w:r>
      </w:ins>
      <w:r>
        <w:rPr>
          <w:rFonts w:cs="Times New Roman" w:ascii="Times New Roman" w:hAnsi="Times New Roman"/>
        </w:rPr>
        <w:t xml:space="preserve"> contemplated hereunder in a good </w:t>
      </w:r>
      <w:ins w:id="28" w:author="gnemec" w:date="1999-05-14T10:35:00Z">
        <w:r>
          <w:rPr>
            <w:rFonts w:cs="Times New Roman" w:ascii="Times New Roman" w:hAnsi="Times New Roman"/>
          </w:rPr>
          <w:t xml:space="preserve">and workmanlike </w:t>
        </w:r>
      </w:ins>
      <w:r>
        <w:rPr>
          <w:rFonts w:cs="Times New Roman" w:ascii="Times New Roman" w:hAnsi="Times New Roman"/>
        </w:rPr>
        <w:t xml:space="preserve">manner and the work shall be conducted in strict accordance with </w:t>
      </w:r>
      <w:del w:id="29" w:author="gnemec" w:date="1999-05-14T10:35:00Z">
        <w:r>
          <w:rPr>
            <w:rFonts w:cs="Times New Roman" w:ascii="Times New Roman" w:hAnsi="Times New Roman"/>
          </w:rPr>
          <w:delText>currently approved practices.</w:delText>
        </w:r>
      </w:del>
      <w:ins w:id="30" w:author="gnemec" w:date="1999-05-14T10:35:00Z">
        <w:r>
          <w:rPr>
            <w:rFonts w:cs="Times New Roman" w:ascii="Times New Roman" w:hAnsi="Times New Roman"/>
          </w:rPr>
          <w:t>standard industry practices, with prudent consideration of the pipeline facilities and system configuration.</w:t>
        </w:r>
      </w:ins>
      <w:ins w:id="31" w:author="gnemec" w:date="1999-05-14T10:35:00Z">
        <w:r>
          <w:rPr>
            <w:rFonts w:cs="Times New Roman" w:ascii="Times New Roman" w:hAnsi="Times New Roman"/>
            <w:sz w:val="22"/>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del w:id="36" w:author="gnemec" w:date="1999-05-14T10:35:00Z"/>
        </w:rPr>
      </w:pPr>
      <w:r>
        <w:rPr>
          <w:rFonts w:cs="Times New Roman" w:ascii="Times New Roman" w:hAnsi="Times New Roman"/>
        </w:rPr>
        <w:tab/>
        <w:t>1.03</w:t>
        <w:tab/>
        <w:t xml:space="preserve">The Independent Contractor </w:t>
      </w:r>
      <w:ins w:id="32" w:author="gnemec" w:date="1999-05-14T10:35:00Z">
        <w:r>
          <w:rPr>
            <w:rFonts w:cs="Times New Roman" w:ascii="Times New Roman" w:hAnsi="Times New Roman"/>
          </w:rPr>
          <w:t xml:space="preserve">is not an agent of HPL and </w:t>
        </w:r>
      </w:ins>
      <w:r>
        <w:rPr>
          <w:rFonts w:cs="Times New Roman" w:ascii="Times New Roman" w:hAnsi="Times New Roman"/>
        </w:rPr>
        <w:t xml:space="preserve">has no authority to act for or on behalf of </w:t>
      </w:r>
      <w:del w:id="33" w:author="gnemec" w:date="1999-05-14T10:35:00Z">
        <w:r>
          <w:rPr>
            <w:rFonts w:cs="Times New Roman" w:ascii="Times New Roman" w:hAnsi="Times New Roman"/>
          </w:rPr>
          <w:delText>the Contracting Party</w:delText>
        </w:r>
      </w:del>
      <w:ins w:id="34" w:author="gnemec" w:date="1999-05-14T10:35:00Z">
        <w:r>
          <w:rPr>
            <w:rFonts w:cs="Times New Roman" w:ascii="Times New Roman" w:hAnsi="Times New Roman"/>
          </w:rPr>
          <w:t>HPL and</w:t>
        </w:r>
      </w:ins>
      <w:r>
        <w:rPr>
          <w:rFonts w:cs="Times New Roman" w:ascii="Times New Roman" w:hAnsi="Times New Roman"/>
        </w:rPr>
        <w:t xml:space="preserve"> except as provided for in this Agreement, no other authority, power or use is granted or </w:t>
      </w:r>
      <w:del w:id="35" w:author="gnemec" w:date="1999-05-14T10:35:00Z">
        <w:r>
          <w:rPr>
            <w:rFonts w:cs="Times New Roman" w:ascii="Times New Roman" w:hAnsi="Times New Roman"/>
          </w:rPr>
          <w:delText>implied.</w:delText>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480"/>
        <w:jc w:val="both"/>
        <w:rPr>
          <w:ins w:id="38" w:author="gnemec" w:date="1999-05-14T10:35:00Z"/>
        </w:rPr>
      </w:pPr>
      <w:ins w:id="37" w:author="gnemec" w:date="1999-05-14T10:35:00Z">
        <w:r>
          <w:rPr/>
          <w:t>implied. Independent Contractor shall not represent itself to third persons to be other than an independent contractor of HPL, nor shall Independent Contractor offer to agree to incur or assume any obligations or commitments in the name of HPL.</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del w:id="40" w:author="gnemec" w:date="1999-05-14T10:35:00Z"/>
        </w:rPr>
      </w:pPr>
      <w:r>
        <w:rPr>
          <w:rFonts w:cs="Times New Roman" w:ascii="Times New Roman" w:hAnsi="Times New Roman"/>
        </w:rPr>
        <w:tab/>
        <w:t>1.04</w:t>
        <w:tab/>
        <w:t>The Independent Contractor may not</w:t>
      </w:r>
      <w:del w:id="39" w:author="gnemec" w:date="1999-05-14T10:35:00Z">
        <w:r>
          <w:rPr>
            <w:rFonts w:cs="Times New Roman" w:ascii="Times New Roman" w:hAnsi="Times New Roman"/>
          </w:rPr>
          <w:delText>incur any debt, obligation, expense, or liability of any kind against the Contracting Party without said party's express written permission.</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del w:id="41" w:author="gnemec" w:date="1999-05-14T10:35:00Z">
        <w:r>
          <w:rPr>
            <w:rFonts w:cs="Times New Roman" w:ascii="Times New Roman" w:hAnsi="Times New Roman"/>
          </w:rPr>
          <w:tab/>
          <w:delText>1.05</w:delText>
          <w:tab/>
          <w:delText>The Independent Contractor may not</w:delText>
        </w:r>
      </w:del>
      <w:r>
        <w:rPr>
          <w:rFonts w:cs="Times New Roman" w:ascii="Times New Roman" w:hAnsi="Times New Roman"/>
        </w:rPr>
        <w:t xml:space="preserve"> receive any money owed to </w:t>
      </w:r>
      <w:del w:id="42" w:author="gnemec" w:date="1999-05-14T10:35:00Z">
        <w:r>
          <w:rPr>
            <w:rFonts w:cs="Times New Roman" w:ascii="Times New Roman" w:hAnsi="Times New Roman"/>
          </w:rPr>
          <w:delText>the Contracting Party</w:delText>
        </w:r>
      </w:del>
      <w:ins w:id="43" w:author="gnemec" w:date="1999-05-14T10:35:00Z">
        <w:r>
          <w:rPr>
            <w:rFonts w:cs="Times New Roman" w:ascii="Times New Roman" w:hAnsi="Times New Roman"/>
          </w:rPr>
          <w:t>HPL</w:t>
        </w:r>
      </w:ins>
      <w:r>
        <w:rPr>
          <w:rFonts w:cs="Times New Roman" w:ascii="Times New Roman" w:hAnsi="Times New Roman"/>
        </w:rPr>
        <w:t xml:space="preserve"> without </w:t>
      </w:r>
      <w:del w:id="44" w:author="gnemec" w:date="1999-05-14T10:35:00Z">
        <w:r>
          <w:rPr>
            <w:rFonts w:cs="Times New Roman" w:ascii="Times New Roman" w:hAnsi="Times New Roman"/>
          </w:rPr>
          <w:delText>said Contracting Party's</w:delText>
        </w:r>
      </w:del>
      <w:ins w:id="45" w:author="gnemec" w:date="1999-05-14T10:35:00Z">
        <w:r>
          <w:rPr>
            <w:rFonts w:cs="Times New Roman" w:ascii="Times New Roman" w:hAnsi="Times New Roman"/>
          </w:rPr>
          <w:t>HPL's</w:t>
        </w:r>
      </w:ins>
      <w:r>
        <w:rPr>
          <w:rFonts w:cs="Times New Roman" w:ascii="Times New Roman" w:hAnsi="Times New Roman"/>
        </w:rPr>
        <w:t xml:space="preserve"> express written permission.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del w:id="46" w:author="gnemec" w:date="1999-05-14T10:35:00Z">
        <w:r>
          <w:rPr>
            <w:rFonts w:cs="Times New Roman" w:ascii="Times New Roman" w:hAnsi="Times New Roman"/>
          </w:rPr>
          <w:delText>1.06</w:delText>
        </w:r>
      </w:del>
      <w:ins w:id="47" w:author="gnemec" w:date="1999-05-14T10:35:00Z">
        <w:r>
          <w:rPr>
            <w:rFonts w:cs="Times New Roman" w:ascii="Times New Roman" w:hAnsi="Times New Roman"/>
          </w:rPr>
          <w:t>1.05</w:t>
        </w:r>
      </w:ins>
      <w:r>
        <w:rPr>
          <w:rFonts w:cs="Times New Roman" w:ascii="Times New Roman" w:hAnsi="Times New Roman"/>
        </w:rPr>
        <w:tab/>
        <w:t xml:space="preserve">Neither the Independent Contractor nor </w:t>
      </w:r>
      <w:del w:id="48" w:author="gnemec" w:date="1999-05-14T10:35:00Z">
        <w:r>
          <w:rPr>
            <w:rFonts w:cs="Times New Roman" w:ascii="Times New Roman" w:hAnsi="Times New Roman"/>
          </w:rPr>
          <w:delText>the Contracting Party</w:delText>
        </w:r>
      </w:del>
      <w:ins w:id="49" w:author="gnemec" w:date="1999-05-14T10:35:00Z">
        <w:r>
          <w:rPr>
            <w:rFonts w:cs="Times New Roman" w:ascii="Times New Roman" w:hAnsi="Times New Roman"/>
          </w:rPr>
          <w:t>HPL</w:t>
        </w:r>
      </w:ins>
      <w:r>
        <w:rPr>
          <w:rFonts w:cs="Times New Roman" w:ascii="Times New Roman" w:hAnsi="Times New Roman"/>
        </w:rPr>
        <w:t xml:space="preserve"> have any exclusive rights or benefits other than those set forth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TERM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2.01</w:t>
        <w:tab/>
        <w:t xml:space="preserve">It is estimated that the </w:t>
      </w:r>
      <w:del w:id="50" w:author="gnemec" w:date="1999-05-14T10:35:00Z">
        <w:r>
          <w:rPr>
            <w:rFonts w:cs="Times New Roman" w:ascii="Times New Roman" w:hAnsi="Times New Roman"/>
          </w:rPr>
          <w:delText>work and services</w:delText>
        </w:r>
      </w:del>
      <w:ins w:id="51" w:author="gnemec" w:date="1999-05-14T10:35:00Z">
        <w:r>
          <w:rPr>
            <w:rFonts w:cs="Times New Roman" w:ascii="Times New Roman" w:hAnsi="Times New Roman"/>
          </w:rPr>
          <w:t>Services</w:t>
        </w:r>
      </w:ins>
      <w:r>
        <w:rPr>
          <w:rFonts w:cs="Times New Roman" w:ascii="Times New Roman" w:hAnsi="Times New Roman"/>
        </w:rPr>
        <w:t xml:space="preserve"> specified in Exhibit “A” will take up to ten (10) man-weeks to complete.  For pupose of calculating the total number of man-hours</w:t>
      </w:r>
      <w:ins w:id="52" w:author="gnemec" w:date="1999-05-14T10:35:00Z">
        <w:r>
          <w:rPr>
            <w:rFonts w:cs="Times New Roman" w:ascii="Times New Roman" w:hAnsi="Times New Roman"/>
          </w:rPr>
          <w:t xml:space="preserve"> per man-week</w:t>
        </w:r>
      </w:ins>
      <w:r>
        <w:rPr>
          <w:rFonts w:cs="Times New Roman" w:ascii="Times New Roman" w:hAnsi="Times New Roman"/>
        </w:rPr>
        <w:t xml:space="preserve">, it was assumed that each week is made up of five, eight-hour days.  </w:t>
      </w:r>
      <w:ins w:id="53" w:author="gnemec" w:date="1999-05-14T10:35:00Z">
        <w:r>
          <w:rPr>
            <w:rFonts w:cs="Times New Roman" w:ascii="Times New Roman" w:hAnsi="Times New Roman"/>
          </w:rPr>
          <w:t xml:space="preserve">Except for Section 4.09, this Agreement shall terminate upon final acceptance by HPL of the Services.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2.02</w:t>
        <w:tab/>
        <w:t xml:space="preserve">The place from which the </w:t>
      </w:r>
      <w:del w:id="54" w:author="gnemec" w:date="1999-05-14T10:35:00Z">
        <w:r>
          <w:rPr>
            <w:rFonts w:cs="Times New Roman" w:ascii="Times New Roman" w:hAnsi="Times New Roman"/>
          </w:rPr>
          <w:delText>services</w:delText>
        </w:r>
      </w:del>
      <w:ins w:id="55" w:author="gnemec" w:date="1999-05-14T10:35:00Z">
        <w:r>
          <w:rPr>
            <w:rFonts w:cs="Times New Roman" w:ascii="Times New Roman" w:hAnsi="Times New Roman"/>
          </w:rPr>
          <w:t>Services</w:t>
        </w:r>
      </w:ins>
      <w:r>
        <w:rPr>
          <w:rFonts w:cs="Times New Roman" w:ascii="Times New Roman" w:hAnsi="Times New Roman"/>
        </w:rPr>
        <w:t xml:space="preserve"> to be rendered shall be chosen by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del w:id="69" w:author="gnemec" w:date="1999-05-14T10:35:00Z"/>
        </w:rPr>
      </w:pPr>
      <w:r>
        <w:rPr>
          <w:rFonts w:cs="Times New Roman" w:ascii="Times New Roman" w:hAnsi="Times New Roman"/>
        </w:rPr>
        <w:tab/>
        <w:t>3.01</w:t>
        <w:tab/>
        <w:t xml:space="preserve">The </w:t>
      </w:r>
      <w:del w:id="56" w:author="gnemec" w:date="1999-05-14T10:35:00Z">
        <w:r>
          <w:rPr>
            <w:rFonts w:cs="Times New Roman" w:ascii="Times New Roman" w:hAnsi="Times New Roman"/>
          </w:rPr>
          <w:delText>contractually agreed price to be paid by the Contracting Party</w:delText>
        </w:r>
      </w:del>
      <w:ins w:id="57" w:author="gnemec" w:date="1999-05-14T10:35:00Z">
        <w:r>
          <w:rPr>
            <w:rFonts w:cs="Times New Roman" w:ascii="Times New Roman" w:hAnsi="Times New Roman"/>
          </w:rPr>
          <w:t>parties agree that the unit prices to be paid by HPL</w:t>
        </w:r>
      </w:ins>
      <w:r>
        <w:rPr>
          <w:rFonts w:cs="Times New Roman" w:ascii="Times New Roman" w:hAnsi="Times New Roman"/>
        </w:rPr>
        <w:t xml:space="preserve"> to the Independent Contractor for the </w:t>
      </w:r>
      <w:del w:id="58" w:author="gnemec" w:date="1999-05-14T10:35:00Z">
        <w:r>
          <w:rPr>
            <w:rFonts w:cs="Times New Roman" w:ascii="Times New Roman" w:hAnsi="Times New Roman"/>
          </w:rPr>
          <w:delText>services contemplated</w:delText>
        </w:r>
      </w:del>
      <w:ins w:id="59" w:author="gnemec" w:date="1999-05-14T10:35:00Z">
        <w:r>
          <w:rPr>
            <w:rFonts w:cs="Times New Roman" w:ascii="Times New Roman" w:hAnsi="Times New Roman"/>
          </w:rPr>
          <w:t>Services performed</w:t>
        </w:r>
      </w:ins>
      <w:r>
        <w:rPr>
          <w:rFonts w:cs="Times New Roman" w:ascii="Times New Roman" w:hAnsi="Times New Roman"/>
        </w:rPr>
        <w:t xml:space="preserve"> hereunder </w:t>
      </w:r>
      <w:del w:id="60" w:author="gnemec" w:date="1999-05-14T10:35:00Z">
        <w:r>
          <w:rPr>
            <w:rFonts w:cs="Times New Roman" w:ascii="Times New Roman" w:hAnsi="Times New Roman"/>
          </w:rPr>
          <w:delText>is</w:delText>
        </w:r>
      </w:del>
      <w:ins w:id="61" w:author="gnemec" w:date="1999-05-14T10:35:00Z">
        <w:r>
          <w:rPr>
            <w:rFonts w:cs="Times New Roman" w:ascii="Times New Roman" w:hAnsi="Times New Roman"/>
          </w:rPr>
          <w:t>shall be as</w:t>
        </w:r>
      </w:ins>
      <w:r>
        <w:rPr>
          <w:rFonts w:cs="Times New Roman" w:ascii="Times New Roman" w:hAnsi="Times New Roman"/>
        </w:rPr>
        <w:t xml:space="preserve"> set forth on Exhibit "A" attached hereto and incorporated herein for all intents and purposes.  A </w:t>
      </w:r>
      <w:del w:id="62" w:author="gnemec" w:date="1999-05-14T10:35:00Z">
        <w:r>
          <w:rPr>
            <w:rFonts w:cs="Times New Roman" w:ascii="Times New Roman" w:hAnsi="Times New Roman"/>
          </w:rPr>
          <w:delText>retainer fee</w:delText>
        </w:r>
      </w:del>
      <w:ins w:id="63" w:author="gnemec" w:date="1999-05-14T10:35:00Z">
        <w:r>
          <w:rPr>
            <w:rFonts w:cs="Times New Roman" w:ascii="Times New Roman" w:hAnsi="Times New Roman"/>
          </w:rPr>
          <w:t>prepayment amount</w:t>
        </w:r>
      </w:ins>
      <w:r>
        <w:rPr>
          <w:rFonts w:cs="Times New Roman" w:ascii="Times New Roman" w:hAnsi="Times New Roman"/>
        </w:rPr>
        <w:t xml:space="preserve"> equal to twenty-five percet (25%) of the total estimated fees (as set forth in Exhibit “A” attached hereto) shall be paid ten days after the commencement of the work.  </w:t>
      </w:r>
      <w:del w:id="64" w:author="gnemec" w:date="1999-05-14T10:35:00Z">
        <w:r>
          <w:rPr>
            <w:rFonts w:cs="Times New Roman" w:ascii="Times New Roman" w:hAnsi="Times New Roman"/>
          </w:rPr>
          <w:delText>Once this</w:delText>
        </w:r>
      </w:del>
      <w:ins w:id="65" w:author="gnemec" w:date="1999-05-14T10:35:00Z">
        <w:r>
          <w:rPr>
            <w:rFonts w:cs="Times New Roman" w:ascii="Times New Roman" w:hAnsi="Times New Roman"/>
          </w:rPr>
          <w:t>Such prepayment amount shall be credited against the Services performed hereunder.  Once such prepayment</w:t>
        </w:r>
      </w:ins>
      <w:r>
        <w:rPr>
          <w:rFonts w:cs="Times New Roman" w:ascii="Times New Roman" w:hAnsi="Times New Roman"/>
        </w:rPr>
        <w:t xml:space="preserve"> amount is depleted due to the </w:t>
      </w:r>
      <w:del w:id="66" w:author="gnemec" w:date="1999-05-14T10:35:00Z">
        <w:r>
          <w:rPr>
            <w:rFonts w:cs="Times New Roman" w:ascii="Times New Roman" w:hAnsi="Times New Roman"/>
          </w:rPr>
          <w:delText>work done, then Contracting Party</w:delText>
        </w:r>
      </w:del>
      <w:ins w:id="67" w:author="gnemec" w:date="1999-05-14T10:35:00Z">
        <w:r>
          <w:rPr>
            <w:rFonts w:cs="Times New Roman" w:ascii="Times New Roman" w:hAnsi="Times New Roman"/>
          </w:rPr>
          <w:t>Services performed, then HPL</w:t>
        </w:r>
      </w:ins>
      <w:r>
        <w:rPr>
          <w:rFonts w:cs="Times New Roman" w:ascii="Times New Roman" w:hAnsi="Times New Roman"/>
        </w:rPr>
        <w:t xml:space="preserve"> will be invoiced for the actual number of hours worked, on a bi-monthly </w:t>
      </w:r>
      <w:del w:id="68" w:author="gnemec" w:date="1999-05-14T10:35:00Z">
        <w:r>
          <w:rPr>
            <w:rFonts w:cs="Times New Roman" w:ascii="Times New Roman" w:hAnsi="Times New Roman"/>
          </w:rPr>
          <w:delText>basis.</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ins w:id="71" w:author="gnemec" w:date="1999-05-14T10:35:00Z"/>
        </w:rPr>
      </w:pPr>
      <w:ins w:id="70" w:author="gnemec" w:date="1999-05-14T10:35:00Z">
        <w:r>
          <w:rPr>
            <w:rFonts w:cs="Times New Roman" w:ascii="Times New Roman" w:hAnsi="Times New Roman"/>
          </w:rPr>
          <w:t>basis.  The parties agree that in no event shall the total fees for all the Services hereunder exceed $60,000 (exclusive of travel expenses).</w:t>
        </w:r>
      </w:ins>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del w:id="76" w:author="gnemec" w:date="1999-05-14T10:35:00Z"/>
        </w:rPr>
      </w:pPr>
      <w:r>
        <w:rPr>
          <w:rFonts w:cs="Times New Roman" w:ascii="Times New Roman" w:hAnsi="Times New Roman"/>
        </w:rPr>
        <w:tab/>
        <w:t>3.02</w:t>
        <w:tab/>
        <w:t>In addition to the compensation set forth above, Independent Contractor shall also be reimbursed for any travel expenses, or any other expense outside the scope of this agreement</w:t>
      </w:r>
      <w:ins w:id="72" w:author="gnemec" w:date="1999-05-14T10:35:00Z">
        <w:r>
          <w:rPr>
            <w:rFonts w:cs="Times New Roman" w:ascii="Times New Roman" w:hAnsi="Times New Roman"/>
          </w:rPr>
          <w:t xml:space="preserve"> ("Excluded Expenses")</w:t>
        </w:r>
      </w:ins>
      <w:r>
        <w:rPr>
          <w:rFonts w:cs="Times New Roman" w:ascii="Times New Roman" w:hAnsi="Times New Roman"/>
        </w:rPr>
        <w:t xml:space="preserve">, provided that all </w:t>
      </w:r>
      <w:del w:id="73" w:author="gnemec" w:date="1999-05-14T10:35:00Z">
        <w:r>
          <w:rPr>
            <w:rFonts w:cs="Times New Roman" w:ascii="Times New Roman" w:hAnsi="Times New Roman"/>
          </w:rPr>
          <w:delText>such expenses</w:delText>
        </w:r>
      </w:del>
      <w:ins w:id="74" w:author="gnemec" w:date="1999-05-14T10:35:00Z">
        <w:r>
          <w:rPr>
            <w:rFonts w:cs="Times New Roman" w:ascii="Times New Roman" w:hAnsi="Times New Roman"/>
          </w:rPr>
          <w:t>Excluded Expenses</w:t>
        </w:r>
      </w:ins>
      <w:r>
        <w:rPr>
          <w:rFonts w:cs="Times New Roman" w:ascii="Times New Roman" w:hAnsi="Times New Roman"/>
        </w:rPr>
        <w:t xml:space="preserve"> shall be approved in writing by </w:t>
      </w:r>
      <w:del w:id="75" w:author="gnemec" w:date="1999-05-14T10:35:00Z">
        <w:r>
          <w:rPr>
            <w:rFonts w:cs="Times New Roman" w:ascii="Times New Roman" w:hAnsi="Times New Roman"/>
          </w:rPr>
          <w:delText>contracting party in advance.</w:delText>
        </w:r>
      </w:del>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ins w:id="78" w:author="gnemec" w:date="1999-05-14T10:35:00Z"/>
        </w:rPr>
      </w:pPr>
      <w:ins w:id="77" w:author="gnemec" w:date="1999-05-14T10:35:00Z">
        <w:r>
          <w:rPr>
            <w:rFonts w:cs="Times New Roman" w:ascii="Times New Roman" w:hAnsi="Times New Roman"/>
          </w:rPr>
          <w:t>HPL in advance.  Any Excluded Expenses incurred without prior written approval of HPL shall be borne solely by Independent Contractor.</w:t>
        </w:r>
      </w:ins>
    </w:p>
    <w:p>
      <w:pPr>
        <w:pStyle w:val="BodyText"/>
        <w:numPr>
          <w:ilvl w:val="1"/>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 xml:space="preserve">Payment shall be made by wire transfer or any other method convenient to </w:t>
      </w:r>
      <w:del w:id="79" w:author="gnemec" w:date="1999-05-14T10:35:00Z">
        <w:r>
          <w:rPr>
            <w:rFonts w:cs="Times New Roman" w:ascii="Times New Roman" w:hAnsi="Times New Roman"/>
          </w:rPr>
          <w:delText>Contracting Party.</w:delText>
        </w:r>
      </w:del>
      <w:ins w:id="80" w:author="gnemec" w:date="1999-05-14T10:35:00Z">
        <w:r>
          <w:rPr>
            <w:rFonts w:cs="Times New Roman" w:ascii="Times New Roman" w:hAnsi="Times New Roman"/>
          </w:rPr>
          <w:t>HPL.</w:t>
        </w:r>
      </w:ins>
      <w:r>
        <w:rPr>
          <w:rFonts w:cs="Times New Roman" w:ascii="Times New Roman" w:hAnsi="Times New Roman"/>
        </w:rPr>
        <w:t xml:space="preserve"> </w:t>
      </w:r>
      <w:r>
        <w:br w:type="page"/>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center"/>
        <w:rPr>
          <w:b/>
        </w:rPr>
      </w:pPr>
      <w:r>
        <w:rPr>
          <w:b/>
        </w:rPr>
        <w:t>IV</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MISCELLANEOUS PROVISIONS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del w:id="84" w:author="gnemec" w:date="1999-05-14T10:35:00Z"/>
        </w:rPr>
      </w:pPr>
      <w:del w:id="81" w:author="gnemec" w:date="1999-05-14T10:35:00Z">
        <w:r>
          <w:rPr>
            <w:rFonts w:cs="Times New Roman" w:ascii="Times New Roman" w:hAnsi="Times New Roman"/>
          </w:rPr>
          <w:tab/>
          <w:delText>4.01</w:delText>
          <w:tab/>
        </w:r>
      </w:del>
      <w:del w:id="82" w:author="gnemec" w:date="1999-05-14T10:35:00Z">
        <w:r>
          <w:rPr>
            <w:rFonts w:cs="Times New Roman" w:ascii="Times New Roman" w:hAnsi="Times New Roman"/>
            <w:b/>
          </w:rPr>
          <w:delText>Legal Fees and Expenses</w:delText>
        </w:r>
      </w:del>
      <w:del w:id="83" w:author="gnemec" w:date="1999-05-14T10:35:00Z">
        <w:r>
          <w:rPr>
            <w:rFonts w:cs="Times New Roman" w:ascii="Times New Roman" w:hAnsi="Times New Roman"/>
          </w:rPr>
          <w:delText>.  In the event that either of the parties to this Agreement contests the validity or enforceability of any of the provisions hereof, then such contesting party hereby agrees to pay in a timely and prompt manner any and all legal fees and expenses incurred by the other party from time to time as a result of such contesting party's contesting of the validity or enforceability of any provision hereof this Agreement; provided, however, nothing contained in this Section shall obligate the Independent Contractor to pay any legal fees or expenses incurred by Contracting Party in connection with any litigation by the Independent Contractor against the Contracting Party to enforce the terms of this Agreement against the Contracting Party.</w:delText>
          <w:tab/>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r>
      <w:del w:id="85" w:author="gnemec" w:date="1999-05-14T10:35:00Z">
        <w:r>
          <w:rPr>
            <w:rFonts w:cs="Times New Roman" w:ascii="Times New Roman" w:hAnsi="Times New Roman"/>
          </w:rPr>
          <w:delText>4.02</w:delText>
        </w:r>
      </w:del>
      <w:ins w:id="86" w:author="gnemec" w:date="1999-05-14T10:35:00Z">
        <w:r>
          <w:rPr>
            <w:rFonts w:cs="Times New Roman" w:ascii="Times New Roman" w:hAnsi="Times New Roman"/>
          </w:rPr>
          <w:t>4.01</w:t>
        </w:r>
      </w:ins>
      <w:r>
        <w:rPr>
          <w:rFonts w:cs="Times New Roman" w:ascii="Times New Roman" w:hAnsi="Times New Roman"/>
        </w:rPr>
        <w:tab/>
      </w:r>
      <w:r>
        <w:rPr>
          <w:rFonts w:cs="Times New Roman" w:ascii="Times New Roman" w:hAnsi="Times New Roman"/>
          <w:b/>
        </w:rPr>
        <w:t>Successors</w:t>
      </w:r>
      <w:r>
        <w:rPr>
          <w:rFonts w:cs="Times New Roman" w:ascii="Times New Roman" w:hAnsi="Times New Roman"/>
        </w:rPr>
        <w:t xml:space="preserve">.  This Agreement shall inure to the benefit of and be binding upon the </w:t>
      </w:r>
      <w:ins w:id="87" w:author="gnemec" w:date="1999-05-14T10:35:00Z">
        <w:r>
          <w:rPr>
            <w:rFonts w:cs="Times New Roman" w:ascii="Times New Roman" w:hAnsi="Times New Roman"/>
          </w:rPr>
          <w:t xml:space="preserve">successors and assigns of the </w:t>
        </w:r>
      </w:ins>
      <w:r>
        <w:rPr>
          <w:rFonts w:cs="Times New Roman" w:ascii="Times New Roman" w:hAnsi="Times New Roman"/>
        </w:rPr>
        <w:t xml:space="preserve">Independent Contractor </w:t>
      </w:r>
      <w:del w:id="88" w:author="gnemec" w:date="1999-05-14T10:35:00Z">
        <w:r>
          <w:rPr>
            <w:rFonts w:cs="Times New Roman" w:ascii="Times New Roman" w:hAnsi="Times New Roman"/>
          </w:rPr>
          <w:delText>and upon the Contracting Party and his legal representatives.</w:delText>
        </w:r>
      </w:del>
      <w:ins w:id="89" w:author="gnemec" w:date="1999-05-14T10:35:00Z">
        <w:r>
          <w:rPr>
            <w:rFonts w:cs="Times New Roman" w:ascii="Times New Roman" w:hAnsi="Times New Roman"/>
          </w:rPr>
          <w:t>or HPL and their legal representatives; provided, that no assignment of this Agreement shall be valid without prior written consent of the non-assigning party.</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ins w:id="94" w:author="gnemec" w:date="1999-05-14T10:35:00Z"/>
        </w:rPr>
      </w:pPr>
      <w:r>
        <w:rPr>
          <w:rFonts w:cs="Times New Roman" w:ascii="Times New Roman" w:hAnsi="Times New Roman"/>
        </w:rPr>
        <w:tab/>
      </w:r>
      <w:del w:id="90" w:author="gnemec" w:date="1999-05-14T10:35:00Z">
        <w:r>
          <w:rPr>
            <w:rFonts w:cs="Times New Roman" w:ascii="Times New Roman" w:hAnsi="Times New Roman"/>
          </w:rPr>
          <w:delText>4.03</w:delText>
        </w:r>
      </w:del>
      <w:ins w:id="91" w:author="gnemec" w:date="1999-05-14T10:35:00Z">
        <w:r>
          <w:rPr>
            <w:rFonts w:cs="Times New Roman" w:ascii="Times New Roman" w:hAnsi="Times New Roman"/>
          </w:rPr>
          <w:t>4.02</w:t>
        </w:r>
      </w:ins>
      <w:r>
        <w:rPr>
          <w:rFonts w:cs="Times New Roman" w:ascii="Times New Roman" w:hAnsi="Times New Roman"/>
        </w:rPr>
        <w:tab/>
      </w:r>
      <w:r>
        <w:rPr>
          <w:rFonts w:cs="Times New Roman" w:ascii="Times New Roman" w:hAnsi="Times New Roman"/>
          <w:b/>
        </w:rPr>
        <w:t>Entire Agreement</w:t>
      </w:r>
      <w:r>
        <w:rPr>
          <w:rFonts w:cs="Times New Roman" w:ascii="Times New Roman" w:hAnsi="Times New Roman"/>
        </w:rPr>
        <w:t xml:space="preserve">.  This Agreement, which contains the entire contractual understanding between the parties, may not be changed orally but only by a written instrument signed by the Independent Contractor and an authorized officer of </w:t>
      </w:r>
      <w:del w:id="92" w:author="gnemec" w:date="1999-05-14T10:35:00Z">
        <w:r>
          <w:rPr>
            <w:rFonts w:cs="Times New Roman" w:ascii="Times New Roman" w:hAnsi="Times New Roman"/>
          </w:rPr>
          <w:delText>the Contracting Party.</w:delText>
        </w:r>
      </w:del>
      <w:ins w:id="93" w:author="gnemec" w:date="1999-05-14T10:35:00Z">
        <w:r>
          <w:rPr>
            <w:rFonts w:cs="Times New Roman" w:ascii="Times New Roman" w:hAnsi="Times New Roman"/>
          </w:rPr>
          <w:t>HPL.</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0"/>
        <w:jc w:val="both"/>
        <w:rPr/>
      </w:pPr>
      <w:ins w:id="95" w:author="gnemec" w:date="1999-05-14T10:35:00Z">
        <w:r>
          <w:rPr>
            <w:rFonts w:cs="Times New Roman" w:ascii="Times New Roman" w:hAnsi="Times New Roman"/>
          </w:rPr>
          <w:t>4.03</w:t>
          <w:tab/>
        </w:r>
      </w:ins>
      <w:r>
        <w:rPr>
          <w:rFonts w:cs="Times New Roman" w:ascii="Times New Roman" w:hAnsi="Times New Roman"/>
          <w:b/>
        </w:rPr>
        <w:t>Governing Law</w:t>
      </w:r>
      <w:r>
        <w:rPr>
          <w:rFonts w:cs="Times New Roman" w:ascii="Times New Roman" w:hAnsi="Times New Roman"/>
        </w:rPr>
        <w:t>.  This Agreement shall be governed by and construed in accordance with the laws of the State of Texas, and venue shall be in Harris County, Texas.</w:t>
      </w:r>
    </w:p>
    <w:p>
      <w:pPr>
        <w:pStyle w:val="Normal"/>
        <w:numPr>
          <w:ilvl w:val="1"/>
          <w:numId w:val="11"/>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start="0" w:end="0"/>
        <w:jc w:val="both"/>
        <w:rPr>
          <w:rFonts w:ascii="Times New Roman" w:hAnsi="Times New Roman" w:cs="Times New Roman"/>
        </w:rPr>
      </w:pPr>
      <w:r>
        <w:rPr>
          <w:rFonts w:cs="Times New Roman" w:ascii="Times New Roman" w:hAnsi="Times New Roman"/>
          <w:b/>
        </w:rPr>
        <w:t>Waiver</w:t>
      </w:r>
      <w:r>
        <w:rPr>
          <w:rFonts w:cs="Times New Roman" w:ascii="Times New Roman" w:hAnsi="Times New Roman"/>
        </w:rPr>
        <w:t>.  The waiver of any breach of any term or condition of this Agreement shall not be deemed to constitute the waiver of any other breach of the same or any other term or condition.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del w:id="96" w:author="gnemec" w:date="1999-05-14T10:35:00Z">
        <w:r>
          <w:rPr>
            <w:rFonts w:cs="Times New Roman" w:ascii="Times New Roman" w:hAnsi="Times New Roman"/>
          </w:rPr>
          <w:delText>4.06</w:delText>
        </w:r>
      </w:del>
      <w:ins w:id="97" w:author="gnemec" w:date="1999-05-14T10:35:00Z">
        <w:r>
          <w:rPr>
            <w:rFonts w:cs="Times New Roman" w:ascii="Times New Roman" w:hAnsi="Times New Roman"/>
          </w:rPr>
          <w:t>4.05</w:t>
        </w:r>
      </w:ins>
      <w:r>
        <w:rPr>
          <w:rFonts w:cs="Times New Roman" w:ascii="Times New Roman" w:hAnsi="Times New Roman"/>
        </w:rPr>
        <w:tab/>
      </w:r>
      <w:r>
        <w:rPr>
          <w:rFonts w:cs="Times New Roman" w:ascii="Times New Roman" w:hAnsi="Times New Roman"/>
          <w:b/>
        </w:rPr>
        <w:t>Enforceability</w:t>
      </w:r>
      <w:r>
        <w:rPr>
          <w:rFonts w:cs="Times New Roman" w:ascii="Times New Roman" w:hAnsi="Times New Roman"/>
        </w:rPr>
        <w:t>.  In the event any provision of this Agreement is found to be unenforceable or invalid, such provision shall be severable from this Agreement and shall not affect the enforceability or validity of any other provision contained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4.07</w:t>
        <w:tab/>
      </w:r>
      <w:r>
        <w:rPr>
          <w:rFonts w:cs="Times New Roman" w:ascii="Times New Roman" w:hAnsi="Times New Roman"/>
          <w:b/>
        </w:rPr>
        <w:t>Notices</w:t>
      </w:r>
      <w:r>
        <w:rPr>
          <w:rFonts w:cs="Times New Roman" w:ascii="Times New Roman" w:hAnsi="Times New Roman"/>
        </w:rPr>
        <w:t xml:space="preserve">.  Any notices or other communications required or permitted hereunder shall be sufficiently given if sent by registered </w:t>
      </w:r>
      <w:del w:id="98" w:author="gnemec" w:date="1999-05-14T10:35:00Z">
        <w:r>
          <w:rPr>
            <w:rFonts w:cs="Times New Roman" w:ascii="Times New Roman" w:hAnsi="Times New Roman"/>
          </w:rPr>
          <w:delText>mail, postage prepaid, and</w:delText>
        </w:r>
      </w:del>
      <w:ins w:id="99" w:author="gnemec" w:date="1999-05-14T10:35:00Z">
        <w:r>
          <w:rPr>
            <w:rFonts w:cs="Times New Roman" w:ascii="Times New Roman" w:hAnsi="Times New Roman"/>
          </w:rPr>
          <w:t>mail with postage prepaid as follows: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rFonts w:cs="Times New Roman" w:ascii="Times New Roman" w:hAnsi="Times New Roman"/>
        </w:rPr>
        <w:tab/>
        <w:tab/>
        <w:t>(a)</w:t>
        <w:tab/>
      </w:r>
      <w:del w:id="100" w:author="gnemec" w:date="1999-05-14T10:35:00Z">
        <w:r>
          <w:rPr>
            <w:rFonts w:cs="Times New Roman" w:ascii="Times New Roman" w:hAnsi="Times New Roman"/>
          </w:rPr>
          <w:delText>if</w:delText>
        </w:r>
      </w:del>
      <w:ins w:id="101" w:author="gnemec" w:date="1999-05-14T10:35:00Z">
        <w:r>
          <w:rPr>
            <w:rFonts w:cs="Times New Roman" w:ascii="Times New Roman" w:hAnsi="Times New Roman"/>
          </w:rPr>
          <w:t>If</w:t>
        </w:r>
      </w:ins>
      <w:r>
        <w:rPr>
          <w:rFonts w:cs="Times New Roman" w:ascii="Times New Roman" w:hAnsi="Times New Roman"/>
        </w:rPr>
        <w:t xml:space="preserve"> to the Independent 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del w:id="103" w:author="gnemec" w:date="1999-05-14T10:35:00Z"/>
        </w:rPr>
      </w:pPr>
      <w:r>
        <w:rPr>
          <w:rFonts w:cs="Times New Roman" w:ascii="Times New Roman" w:hAnsi="Times New Roman"/>
        </w:rPr>
        <w:tab/>
        <w:tab/>
        <w:tab/>
      </w:r>
      <w:del w:id="102" w:author="gnemec" w:date="1999-05-14T10:35:00Z">
        <w:r>
          <w:rPr>
            <w:rFonts w:cs="Times New Roman" w:ascii="Times New Roman" w:hAnsi="Times New Roman"/>
          </w:rPr>
          <w:delText>addressed to him/her at:</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ab/>
        <w:tab/>
      </w:r>
      <w:r>
        <w:rPr>
          <w:rFonts w:cs="Times New Roman" w:ascii="Times New Roman" w:hAnsi="Times New Roman"/>
          <w:b/>
        </w:rPr>
        <w:t>Gregg &amp; Rey Engineering Consultants,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7322 Southwest Freeway, Suite 1211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77074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Thomas L. Rey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del w:id="105" w:author="gnemec" w:date="1999-05-14T10:35:00Z"/>
        </w:rPr>
      </w:pPr>
      <w:r>
        <w:rPr>
          <w:rFonts w:cs="Times New Roman" w:ascii="Times New Roman" w:hAnsi="Times New Roman"/>
        </w:rPr>
        <w:tab/>
        <w:tab/>
        <w:t>(b)</w:t>
        <w:tab/>
      </w:r>
      <w:del w:id="104" w:author="gnemec" w:date="1999-05-14T10:35:00Z">
        <w:r>
          <w:rPr>
            <w:rFonts w:cs="Times New Roman" w:ascii="Times New Roman" w:hAnsi="Times New Roman"/>
          </w:rPr>
          <w:delText xml:space="preserve">if to the Contracting Party, </w:delText>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2160" w:start="2160" w:end="0"/>
        <w:jc w:val="both"/>
        <w:rPr>
          <w:rFonts w:ascii="Times New Roman" w:hAnsi="Times New Roman" w:cs="Times New Roman"/>
          <w:del w:id="107" w:author="gnemec" w:date="1999-05-14T10:35:00Z"/>
        </w:rPr>
      </w:pPr>
      <w:del w:id="106" w:author="gnemec" w:date="1999-05-14T10:35:00Z">
        <w:r>
          <w:rPr>
            <w:rFonts w:cs="Times New Roman" w:ascii="Times New Roman" w:hAnsi="Times New Roman"/>
          </w:rPr>
          <w:tab/>
          <w:tab/>
          <w:tab/>
          <w:delText>addressed to it at:</w:delText>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2160" w:start="2160" w:end="0"/>
        <w:jc w:val="both"/>
        <w:rPr>
          <w:rFonts w:ascii="Times New Roman" w:hAnsi="Times New Roman" w:cs="Times New Roman"/>
          <w:del w:id="109" w:author="gnemec" w:date="1999-05-14T10:35:00Z"/>
        </w:rPr>
      </w:pPr>
      <w:del w:id="108" w:author="gnemec" w:date="1999-05-14T10:35:00Z">
        <w:r>
          <w:rPr>
            <w:rFonts w:cs="Times New Roman" w:ascii="Times New Roman" w:hAnsi="Times New Roman"/>
          </w:rPr>
          <w:tab/>
          <w:tab/>
          <w:tab/>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ins w:id="112" w:author="gnemec" w:date="1999-05-14T10:35:00Z"/>
        </w:rPr>
      </w:pPr>
      <w:del w:id="110" w:author="gnemec" w:date="1999-05-14T10:35:00Z">
        <w:r>
          <w:rPr>
            <w:rFonts w:cs="Times New Roman" w:ascii="Times New Roman" w:hAnsi="Times New Roman"/>
          </w:rPr>
          <w:tab/>
          <w:tab/>
          <w:tab/>
          <w:delText>Enron Corp.</w:delText>
        </w:r>
      </w:del>
      <w:ins w:id="111" w:author="gnemec" w:date="1999-05-14T10:35:00Z">
        <w:r>
          <w:rPr>
            <w:rFonts w:cs="Times New Roman" w:ascii="Times New Roman" w:hAnsi="Times New Roman"/>
          </w:rPr>
          <w:t xml:space="preserve">If to HPL,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ns w:id="114" w:author="gnemec" w:date="1999-05-14T10:35:00Z"/>
        </w:rPr>
      </w:pPr>
      <w:ins w:id="113" w:author="gnemec" w:date="1999-05-14T10:35:00Z">
        <w:r>
          <w:rPr>
            <w:rFonts w:cs="Times New Roman" w:ascii="Times New Roman" w:hAnsi="Times New Roman"/>
          </w:rPr>
          <w:tab/>
          <w:tab/>
          <w:tab/>
          <w:tab/>
          <w:tab/>
          <w:tab/>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rPr>
      </w:pPr>
      <w:ins w:id="115" w:author="gnemec" w:date="1999-05-14T10:35:00Z">
        <w:r>
          <w:rPr>
            <w:rFonts w:cs="Times New Roman" w:ascii="Times New Roman" w:hAnsi="Times New Roman"/>
          </w:rPr>
          <w:tab/>
          <w:tab/>
          <w:tab/>
        </w:r>
      </w:ins>
      <w:ins w:id="116" w:author="gnemec" w:date="1999-05-14T10:35:00Z">
        <w:r>
          <w:rPr>
            <w:rFonts w:cs="Times New Roman" w:ascii="Times New Roman" w:hAnsi="Times New Roman"/>
            <w:b/>
          </w:rPr>
          <w:t>Houston Pipe Line Company</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Chris Sonneborn</w:t>
      </w:r>
      <w:ins w:id="117" w:author="gnemec" w:date="1999-05-14T10:35:00Z">
        <w:r>
          <w:rPr>
            <w:rFonts w:cs="Times New Roman" w:ascii="Times New Roman" w:hAnsi="Times New Roman"/>
          </w:rPr>
          <w:t>, EB 3530</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del w:id="118" w:author="gnemec" w:date="1999-05-14T10:35:00Z">
        <w:r>
          <w:rPr>
            <w:rFonts w:cs="Times New Roman" w:ascii="Times New Roman" w:hAnsi="Times New Roman"/>
          </w:rPr>
          <w:delText>or</w:delText>
        </w:r>
      </w:del>
      <w:ins w:id="119" w:author="gnemec" w:date="1999-05-14T10:35:00Z">
        <w:r>
          <w:rPr>
            <w:rFonts w:cs="Times New Roman" w:ascii="Times New Roman" w:hAnsi="Times New Roman"/>
          </w:rPr>
          <w:t>Any such notice or communication may also be sent to</w:t>
        </w:r>
      </w:ins>
      <w:r>
        <w:rPr>
          <w:rFonts w:cs="Times New Roman" w:ascii="Times New Roman" w:hAnsi="Times New Roman"/>
        </w:rPr>
        <w:t xml:space="preserve"> such other address as the party to whom or to which such notice or other communication is to be given shall have specified in writing to the other party, and any such notice or communication shall be </w:t>
      </w:r>
      <w:del w:id="120" w:author="gnemec" w:date="1999-05-14T10:35:00Z">
        <w:r>
          <w:rPr>
            <w:rFonts w:cs="Times New Roman" w:ascii="Times New Roman" w:hAnsi="Times New Roman"/>
          </w:rPr>
          <w:delText>denied</w:delText>
        </w:r>
      </w:del>
      <w:ins w:id="121" w:author="gnemec" w:date="1999-05-14T10:35:00Z">
        <w:r>
          <w:rPr>
            <w:rFonts w:cs="Times New Roman" w:ascii="Times New Roman" w:hAnsi="Times New Roman"/>
          </w:rPr>
          <w:t>deemed</w:t>
        </w:r>
      </w:ins>
      <w:r>
        <w:rPr>
          <w:rFonts w:cs="Times New Roman" w:ascii="Times New Roman" w:hAnsi="Times New Roman"/>
        </w:rPr>
        <w:t xml:space="preserve"> to have been given as of the date so mailed.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del w:id="135" w:author="gnemec" w:date="1999-05-14T10:35:00Z"/>
        </w:rPr>
      </w:pPr>
      <w:r>
        <w:rPr>
          <w:rFonts w:cs="Times New Roman" w:ascii="Times New Roman" w:hAnsi="Times New Roman"/>
        </w:rPr>
        <w:tab/>
        <w:t>4.08</w:t>
        <w:tab/>
      </w:r>
      <w:r>
        <w:rPr>
          <w:rFonts w:cs="Times New Roman" w:ascii="Times New Roman" w:hAnsi="Times New Roman"/>
          <w:b/>
        </w:rPr>
        <w:t>Arbitration</w:t>
      </w:r>
      <w:r>
        <w:rPr>
          <w:rFonts w:cs="Times New Roman" w:ascii="Times New Roman" w:hAnsi="Times New Roman"/>
        </w:rPr>
        <w:t xml:space="preserve">.  </w:t>
      </w:r>
      <w:ins w:id="122" w:author="gnemec" w:date="1999-05-14T10:35:00Z">
        <w:r>
          <w:rPr>
            <w:rFonts w:cs="Times New Roman" w:ascii="Times New Roman" w:hAnsi="Times New Roman"/>
          </w:rPr>
          <w:t xml:space="preserve">Except for the right to apply to a court to enjoin any breach or threatened breach of Section 4.09, </w:t>
        </w:r>
      </w:ins>
      <w:r>
        <w:rPr>
          <w:rFonts w:cs="Times New Roman" w:ascii="Times New Roman" w:hAnsi="Times New Roman"/>
        </w:rPr>
        <w:t xml:space="preserve">Independent Contractor and </w:t>
      </w:r>
      <w:del w:id="123" w:author="gnemec" w:date="1999-05-14T10:35:00Z">
        <w:r>
          <w:rPr>
            <w:rFonts w:cs="Times New Roman" w:ascii="Times New Roman" w:hAnsi="Times New Roman"/>
          </w:rPr>
          <w:delText>Contracting Party</w:delText>
        </w:r>
      </w:del>
      <w:ins w:id="124" w:author="gnemec" w:date="1999-05-14T10:35:00Z">
        <w:r>
          <w:rPr>
            <w:rFonts w:cs="Times New Roman" w:ascii="Times New Roman" w:hAnsi="Times New Roman"/>
          </w:rPr>
          <w:t>HPL</w:t>
        </w:r>
      </w:ins>
      <w:r>
        <w:rPr>
          <w:rFonts w:cs="Times New Roman" w:ascii="Times New Roman" w:hAnsi="Times New Roman"/>
        </w:rPr>
        <w:t xml:space="preserve"> agree to submit to final and binding arbitration any and all disputes, claims (whether in tort, contract, statutory, or otherwise) and/or disagreements concerning the interpretation or application of this Agreement and/or Independent Contractor's employment by </w:t>
      </w:r>
      <w:del w:id="125" w:author="gnemec" w:date="1999-05-14T10:35:00Z">
        <w:r>
          <w:rPr>
            <w:rFonts w:cs="Times New Roman" w:ascii="Times New Roman" w:hAnsi="Times New Roman"/>
          </w:rPr>
          <w:delText>Contracting Party</w:delText>
        </w:r>
      </w:del>
      <w:ins w:id="126" w:author="gnemec" w:date="1999-05-14T10:35:00Z">
        <w:r>
          <w:rPr>
            <w:rFonts w:cs="Times New Roman" w:ascii="Times New Roman" w:hAnsi="Times New Roman"/>
          </w:rPr>
          <w:t>HPL</w:t>
        </w:r>
      </w:ins>
      <w:r>
        <w:rPr>
          <w:rFonts w:cs="Times New Roman" w:ascii="Times New Roman" w:hAnsi="Times New Roman"/>
        </w:rPr>
        <w:t xml:space="preserve"> and/or the termination of this Agreement and/or Independent Contractor's employment by </w:t>
      </w:r>
      <w:del w:id="127" w:author="gnemec" w:date="1999-05-14T10:35:00Z">
        <w:r>
          <w:rPr>
            <w:rFonts w:cs="Times New Roman" w:ascii="Times New Roman" w:hAnsi="Times New Roman"/>
          </w:rPr>
          <w:delText>Contracting Party.</w:delText>
        </w:r>
      </w:del>
      <w:ins w:id="128" w:author="gnemec" w:date="1999-05-14T10:35:00Z">
        <w:r>
          <w:rPr>
            <w:rFonts w:cs="Times New Roman" w:ascii="Times New Roman" w:hAnsi="Times New Roman"/>
          </w:rPr>
          <w:t>HPL.</w:t>
        </w:r>
      </w:ins>
      <w:r>
        <w:rPr>
          <w:rFonts w:cs="Times New Roman" w:ascii="Times New Roman" w:hAnsi="Times New Roman"/>
        </w:rPr>
        <w:t xml:space="preserve">  Any such dispute, claim and/or disagreement shall be resolved by arbitration in accordance with the Commercial Arbitration Rules of the American Arbitration Association (the "AAA").  Arbitration under this provision must be initiated with </w:t>
      </w:r>
      <w:del w:id="129" w:author="gnemec" w:date="1999-05-14T10:35:00Z">
        <w:r>
          <w:rPr>
            <w:rFonts w:cs="Times New Roman" w:ascii="Times New Roman" w:hAnsi="Times New Roman"/>
          </w:rPr>
          <w:delText>(30)</w:delText>
        </w:r>
      </w:del>
      <w:ins w:id="130" w:author="gnemec" w:date="1999-05-14T10:35:00Z">
        <w:r>
          <w:rPr>
            <w:rFonts w:cs="Times New Roman" w:ascii="Times New Roman" w:hAnsi="Times New Roman"/>
          </w:rPr>
          <w:t>30</w:t>
        </w:r>
      </w:ins>
      <w:r>
        <w:rPr>
          <w:rFonts w:cs="Times New Roman" w:ascii="Times New Roman" w:hAnsi="Times New Roman"/>
        </w:rPr>
        <w:t xml:space="preserve"> days of the action, inaction, or occurrence about which the party initiating the arbitration is complaining.  Within </w:t>
      </w:r>
      <w:del w:id="131" w:author="gnemec" w:date="1999-05-14T10:35:00Z">
        <w:r>
          <w:rPr>
            <w:rFonts w:cs="Times New Roman" w:ascii="Times New Roman" w:hAnsi="Times New Roman"/>
          </w:rPr>
          <w:delText>(ten)</w:delText>
        </w:r>
      </w:del>
      <w:ins w:id="132" w:author="gnemec" w:date="1999-05-14T10:35:00Z">
        <w:r>
          <w:rPr>
            <w:rFonts w:cs="Times New Roman" w:ascii="Times New Roman" w:hAnsi="Times New Roman"/>
          </w:rPr>
          <w:t>10</w:t>
        </w:r>
      </w:ins>
      <w:r>
        <w:rPr>
          <w:rFonts w:cs="Times New Roman" w:ascii="Times New Roman" w:hAnsi="Times New Roman"/>
        </w:rPr>
        <w:t xml:space="preserve"> days of the initiation of an arbitration hereunder, each party will designate an arbitrator pursuant to Rule 14 of the AAA Rules.  The appointed arbitrators will appoint a neutral arbitrator from the panel in the manner prescribed in Rule 13 of the AAA Rules.  Independent Contractor and </w:t>
      </w:r>
      <w:del w:id="133" w:author="gnemec" w:date="1999-05-14T10:35:00Z">
        <w:r>
          <w:rPr>
            <w:rFonts w:cs="Times New Roman" w:ascii="Times New Roman" w:hAnsi="Times New Roman"/>
          </w:rPr>
          <w:delText>Contracting Party</w:delText>
        </w:r>
      </w:del>
      <w:ins w:id="134" w:author="gnemec" w:date="1999-05-14T10:35:00Z">
        <w:r>
          <w:rPr>
            <w:rFonts w:cs="Times New Roman" w:ascii="Times New Roman" w:hAnsi="Times New Roman"/>
          </w:rPr>
          <w:t>HPL</w:t>
        </w:r>
      </w:ins>
      <w:r>
        <w:rPr>
          <w:rFonts w:cs="Times New Roman" w:ascii="Times New Roman" w:hAnsi="Times New Roman"/>
        </w:rPr>
        <w:t xml:space="preserve"> agree that the decision of the arbitrators selected hereunder will be final and binding on both parties.  This arbitration provision is expressly made pursuant to and shall be governed by the Federal Arbitration Act, 9 U.S.C. Section 1-14. </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parties hereto agree that pursuant to Section 9 of the Act that a judgment of the United States District Court for the Southern District of Texas, Houston Division of Texas shall be entered upon the award made pursuant to the arbitration.</w:t>
      </w:r>
    </w:p>
    <w:p>
      <w:pPr>
        <w:pStyle w:val="Normal"/>
        <w:jc w:val="both"/>
        <w:rPr>
          <w:rFonts w:ascii="Times New Roman" w:hAnsi="Times New Roman" w:cs="Times New Roman"/>
          <w:b/>
          <w:ins w:id="137" w:author="gnemec" w:date="1999-05-14T10:35:00Z"/>
        </w:rPr>
      </w:pPr>
      <w:ins w:id="136" w:author="gnemec" w:date="1999-05-14T10:35:00Z">
        <w:r>
          <w:rPr>
            <w:rFonts w:cs="Times New Roman" w:ascii="Times New Roman" w:hAnsi="Times New Roman"/>
            <w:b/>
          </w:rPr>
          <w:tab/>
        </w:r>
      </w:ins>
    </w:p>
    <w:p>
      <w:pPr>
        <w:pStyle w:val="Normal"/>
        <w:spacing w:lineRule="auto" w:line="480"/>
        <w:ind w:firstLine="720" w:end="0"/>
        <w:jc w:val="both"/>
        <w:rPr>
          <w:ins w:id="147" w:author="gnemec" w:date="1999-05-14T10:35:00Z"/>
        </w:rPr>
      </w:pPr>
      <w:ins w:id="138" w:author="gnemec" w:date="1999-05-14T10:35:00Z">
        <w:r>
          <w:rPr>
            <w:rFonts w:cs="Times New Roman" w:ascii="Times New Roman" w:hAnsi="Times New Roman"/>
          </w:rPr>
          <w:t>4.09</w:t>
          <w:tab/>
        </w:r>
      </w:ins>
      <w:ins w:id="139" w:author="gnemec" w:date="1999-05-14T10:35:00Z">
        <w:r>
          <w:rPr>
            <w:rFonts w:cs="Times New Roman" w:ascii="Times New Roman" w:hAnsi="Times New Roman"/>
            <w:b/>
          </w:rPr>
          <w:t>Confidentiality</w:t>
        </w:r>
      </w:ins>
      <w:ins w:id="140" w:author="gnemec" w:date="1999-05-14T10:35:00Z">
        <w:r>
          <w:rPr>
            <w:rFonts w:cs="Times New Roman" w:ascii="Times New Roman" w:hAnsi="Times New Roman"/>
          </w:rPr>
          <w:t xml:space="preserve"> </w:t>
        </w:r>
      </w:ins>
      <w:ins w:id="141" w:author="gnemec" w:date="1999-05-14T10:35:00Z">
        <w:r>
          <w:rPr>
            <w:rFonts w:cs="Times New Roman" w:ascii="Times New Roman" w:hAnsi="Times New Roman"/>
            <w:b/>
          </w:rPr>
          <w:t>o</w:t>
        </w:r>
      </w:ins>
      <w:ins w:id="142" w:author="gnemec" w:date="1999-05-14T10:35:00Z">
        <w:r>
          <w:rPr>
            <w:b/>
            <w:spacing w:val="-3"/>
          </w:rPr>
          <w:t>f HPL's Business</w:t>
        </w:r>
      </w:ins>
      <w:ins w:id="143" w:author="gnemec" w:date="1999-05-14T10:35:00Z">
        <w:r>
          <w:rPr>
            <w:spacing w:val="-3"/>
          </w:rPr>
          <w:t xml:space="preserve">.     </w:t>
        </w:r>
      </w:ins>
      <w:ins w:id="144" w:author="gnemec" w:date="1999-05-14T10:35:00Z">
        <w:r>
          <w:rPr/>
          <w:t>In connection with the Services, Independent Contractor will have access to certain information of HPL and its affiliates (collectively, "</w:t>
        </w:r>
      </w:ins>
      <w:ins w:id="145" w:author="gnemec" w:date="1999-05-14T10:35:00Z">
        <w:r>
          <w:rPr>
            <w:u w:val="single"/>
          </w:rPr>
          <w:t>Enron</w:t>
        </w:r>
      </w:ins>
      <w:ins w:id="146" w:author="gnemec" w:date="1999-05-14T10:35:00Z">
        <w:r>
          <w:rPr/>
          <w:t>"), which is either confidential, proprietary or otherwise not generally available to the public.  In consideration of and as a condition to the retention and furnishing of information to Independent Contractor, Independent Contractor agrees as follows:</w:t>
        </w:r>
      </w:ins>
    </w:p>
    <w:p>
      <w:pPr>
        <w:pStyle w:val="Normal"/>
        <w:tabs>
          <w:tab w:val="clear" w:pos="720"/>
          <w:tab w:val="left" w:pos="2160" w:leader="none"/>
        </w:tabs>
        <w:spacing w:lineRule="auto" w:line="480"/>
        <w:ind w:firstLine="1440" w:end="0"/>
        <w:jc w:val="both"/>
        <w:rPr>
          <w:ins w:id="151" w:author="gnemec" w:date="1999-05-14T10:35:00Z"/>
        </w:rPr>
      </w:pPr>
      <w:ins w:id="148" w:author="gnemec" w:date="1999-05-14T10:35:00Z">
        <w:r>
          <w:rPr/>
          <w:t>A.</w:t>
          <w:tab/>
        </w:r>
      </w:ins>
      <w:ins w:id="149" w:author="gnemec" w:date="1999-05-14T10:35:00Z">
        <w:r>
          <w:rPr>
            <w:u w:val="single"/>
          </w:rPr>
          <w:t>Nondisclosure of Confidential Information</w:t>
        </w:r>
      </w:ins>
      <w:ins w:id="150" w:author="gnemec" w:date="1999-05-14T10:35:00Z">
        <w:r>
          <w:rPr/>
          <w:t>.  During the performance of the Services for HPL and for a period of two years from the date last Services are performed, the Confidential Information (as defined in Section 4.09C) will not be used by Independent Contractor other than in connection with rendering the Services, and will be kept strictly confidential by Independent Contractor.  Independent Contractor agrees that Independent Contractor will not use the Confidential Information for any purposes other than as directed by HPL.  Independent Contractor will not disclose the Confidential Information to any person and Independent Contractor will safeguard the Confidential Information from unauthorized disclosure. Without the prior consent of HPL, Independent Contractor will not disclose to any person the fact that Independent Contractor has inspected any portion of the Confidential Information.</w:t>
        </w:r>
      </w:ins>
    </w:p>
    <w:p>
      <w:pPr>
        <w:pStyle w:val="Normal"/>
        <w:spacing w:lineRule="auto" w:line="480"/>
        <w:jc w:val="both"/>
        <w:rPr>
          <w:ins w:id="153" w:author="gnemec" w:date="1999-05-14T10:35:00Z"/>
        </w:rPr>
      </w:pPr>
      <w:ins w:id="152" w:author="gnemec" w:date="1999-05-14T10:35:00Z">
        <w:r>
          <w:rPr/>
        </w:r>
      </w:ins>
    </w:p>
    <w:p>
      <w:pPr>
        <w:pStyle w:val="Normal"/>
        <w:tabs>
          <w:tab w:val="clear" w:pos="720"/>
          <w:tab w:val="left" w:pos="2160" w:leader="none"/>
        </w:tabs>
        <w:spacing w:lineRule="auto" w:line="480"/>
        <w:ind w:firstLine="1440" w:end="0"/>
        <w:jc w:val="both"/>
        <w:rPr>
          <w:ins w:id="157" w:author="gnemec" w:date="1999-05-14T10:35:00Z"/>
        </w:rPr>
      </w:pPr>
      <w:ins w:id="154" w:author="gnemec" w:date="1999-05-14T10:35:00Z">
        <w:r>
          <w:rPr/>
          <w:t>B.</w:t>
          <w:tab/>
        </w:r>
      </w:ins>
      <w:ins w:id="155" w:author="gnemec" w:date="1999-05-14T10:35:00Z">
        <w:r>
          <w:rPr>
            <w:u w:val="single"/>
          </w:rPr>
          <w:t>Notice Preceding Compelled Disclosure</w:t>
        </w:r>
      </w:ins>
      <w:ins w:id="156" w:author="gnemec" w:date="1999-05-14T10:35:00Z">
        <w:r>
          <w:rPr/>
          <w:t>.  If Independent Contractor is requested or required (by oral question, interrogatories, requests for information or documents, subpoena, civil investigative demand or similar process) to disclose any Confidential Information, Independent Contractor will promptly notify HPL of such request or requirement so that HPL may seek an appropriate protective order or waive compliance with provisions of this Agreement.  If, in the absence of a protective order or the receipt of a waiver hereunder, Independent Contractor is, in the written opinion of Independent Contractor’s counsel, compelled to disclose the Confidential Information or else stand liable for contempt or suffer other censure or significant penalty, Independent Contractor may disclose only such of the Confidential Information to the party compelling disclosure as is required by law.  Any legal fees and other expenses Independent Contractor incurs in compliance with this paragraph will be fully covered by HPL.</w:t>
        </w:r>
      </w:ins>
    </w:p>
    <w:p>
      <w:pPr>
        <w:pStyle w:val="Normal"/>
        <w:tabs>
          <w:tab w:val="clear" w:pos="720"/>
          <w:tab w:val="left" w:pos="2160" w:leader="none"/>
          <w:tab w:val="left" w:pos="2250" w:leader="none"/>
        </w:tabs>
        <w:spacing w:lineRule="auto" w:line="480"/>
        <w:ind w:firstLine="1440" w:end="0"/>
        <w:jc w:val="both"/>
        <w:rPr>
          <w:ins w:id="163" w:author="gnemec" w:date="1999-05-14T10:35:00Z"/>
        </w:rPr>
      </w:pPr>
      <w:ins w:id="158" w:author="gnemec" w:date="1999-05-14T10:35:00Z">
        <w:r>
          <w:rPr/>
          <w:t>C.</w:t>
          <w:tab/>
        </w:r>
      </w:ins>
      <w:ins w:id="159" w:author="gnemec" w:date="1999-05-14T10:35:00Z">
        <w:r>
          <w:rPr>
            <w:u w:val="single"/>
          </w:rPr>
          <w:t>Definition of “Confidential Information”</w:t>
        </w:r>
      </w:ins>
      <w:ins w:id="160" w:author="gnemec" w:date="1999-05-14T10:35:00Z">
        <w:r>
          <w:rPr/>
          <w:t>.  As used herein, “</w:t>
        </w:r>
      </w:ins>
      <w:ins w:id="161" w:author="gnemec" w:date="1999-05-14T10:35:00Z">
        <w:r>
          <w:rPr>
            <w:u w:val="single"/>
          </w:rPr>
          <w:t>Confidential Information</w:t>
        </w:r>
      </w:ins>
      <w:ins w:id="162" w:author="gnemec" w:date="1999-05-14T10:35:00Z">
        <w:r>
          <w:rPr/>
          <w:t>” means (a) all information that is furnished to Independent Contractor by Enron concerning Enron or its shareholders or any third party, any transaction that Independent Contractor is reviewing or evaluating on behalf of Enron or third parties participating in such transactions, and which is either confidential, proprietary or otherwise not generally available to the public as well as any analyses, compilations, data, studies, or other documents prepared by Independent Contractor containing or based in whole or in part on any such information, and (b) the fact that Independent Contractor has inspected any portion of same.  Any information furnished to Independent Contractor by a director, officer, employee, affiliate, shareholder or representative of HPL will be deemed for the purpose of this Agreement furnished by HPL.  Notwithstanding the foregoing, the following will not constitute Confidential Information for purposes of this Agreement:  (a) information which is or becomes generally available to the public other than as a result of a disclosure by Independent Contractor, (b) information which was already known to Independent Contractor on a nonconfidential basis prior to being furnished to Independent Contractor by Enron, and (c) information which becomes available to Independent Contractor on a nonconfidential basis from a source other than Enron or a representative of Enron if such source was not subject to any prohibition against transmitting the information to Independent Contractor.</w:t>
        </w:r>
      </w:ins>
    </w:p>
    <w:p>
      <w:pPr>
        <w:pStyle w:val="Normal"/>
        <w:tabs>
          <w:tab w:val="clear" w:pos="720"/>
          <w:tab w:val="left" w:pos="1260" w:leader="none"/>
          <w:tab w:val="left" w:pos="2160" w:leader="none"/>
          <w:tab w:val="left" w:pos="2250" w:leader="none"/>
        </w:tabs>
        <w:spacing w:lineRule="auto" w:line="480"/>
        <w:ind w:firstLine="1350" w:start="90" w:end="0"/>
        <w:jc w:val="both"/>
        <w:rPr>
          <w:ins w:id="167" w:author="gnemec" w:date="1999-05-14T10:35:00Z"/>
        </w:rPr>
      </w:pPr>
      <w:ins w:id="164" w:author="gnemec" w:date="1999-05-14T10:35:00Z">
        <w:r>
          <w:rPr/>
          <w:t>D.</w:t>
          <w:tab/>
        </w:r>
      </w:ins>
      <w:ins w:id="165" w:author="gnemec" w:date="1999-05-14T10:35:00Z">
        <w:r>
          <w:rPr>
            <w:u w:val="single"/>
          </w:rPr>
          <w:t>Return of Information</w:t>
        </w:r>
      </w:ins>
      <w:ins w:id="166" w:author="gnemec" w:date="1999-05-14T10:35:00Z">
        <w:r>
          <w:rPr/>
          <w:t>.  Independent Contractor will not retain any copies of the Confidential Information.  All Confidential Information will be returned by Independent Contractor to HPL.</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Times New Roman" w:hAnsi="Times New Roman" w:cs="Times New Roman"/>
          <w:b/>
          <w:ins w:id="171" w:author="gnemec" w:date="1999-05-14T10:35:00Z"/>
        </w:rPr>
      </w:pPr>
      <w:ins w:id="168" w:author="gnemec" w:date="1999-05-14T10:35:00Z">
        <w:r>
          <w:rPr/>
          <w:tab/>
          <w:tab/>
          <w:t>E.</w:t>
          <w:tab/>
        </w:r>
      </w:ins>
      <w:ins w:id="169" w:author="gnemec" w:date="1999-05-14T10:35:00Z">
        <w:r>
          <w:rPr>
            <w:u w:val="single"/>
          </w:rPr>
          <w:t>Remedies and Liability</w:t>
        </w:r>
      </w:ins>
      <w:ins w:id="170" w:author="gnemec" w:date="1999-05-14T10:35:00Z">
        <w:r>
          <w:rPr/>
          <w:t>.  Independent Contractor shall be liable for any breach of this Section 4.09 by it or any parent, subsidiary or affiliate of the Independent Contractor.  Independent Contractor acknowledges that HPL may not have an adequate remedy at law for money damages in the event that any of the covenants in this Section 4.09 were not performed by Independent Contractor, and therefore agrees that HPL shall be entitled to specific enforcement of such covenants in addition to any other remedy to which HPL may be entitled.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ins w:id="172" w:author="gnemec" w:date="1999-05-14T10:35:00Z">
        <w:r>
          <w:rPr>
            <w:rFonts w:cs="Times New Roman" w:ascii="Times New Roman" w:hAnsi="Times New Roman"/>
            <w:b/>
          </w:rPr>
          <w:tab/>
        </w:r>
      </w:ins>
      <w:r>
        <w:rPr>
          <w:rFonts w:cs="Times New Roman" w:ascii="Times New Roman" w:hAnsi="Times New Roman"/>
          <w:b/>
        </w:rPr>
        <w:t>IN WITNESS WHEREOF</w:t>
      </w:r>
      <w:r>
        <w:rPr>
          <w:rFonts w:cs="Times New Roman" w:ascii="Times New Roman" w:hAnsi="Times New Roman"/>
        </w:rPr>
        <w:t xml:space="preserve">, the Independent Contractor has caused this Agreement to be executed by its duly authorized officer, and </w:t>
      </w:r>
      <w:del w:id="173" w:author="gnemec" w:date="1999-05-14T10:35:00Z">
        <w:r>
          <w:rPr>
            <w:rFonts w:cs="Times New Roman" w:ascii="Times New Roman" w:hAnsi="Times New Roman"/>
          </w:rPr>
          <w:delText>the Contracting Party</w:delText>
        </w:r>
      </w:del>
      <w:ins w:id="174" w:author="gnemec" w:date="1999-05-14T10:35:00Z">
        <w:r>
          <w:rPr>
            <w:rFonts w:cs="Times New Roman" w:ascii="Times New Roman" w:hAnsi="Times New Roman"/>
          </w:rPr>
          <w:t>HPL</w:t>
        </w:r>
      </w:ins>
      <w:r>
        <w:rPr>
          <w:rFonts w:cs="Times New Roman" w:ascii="Times New Roman" w:hAnsi="Times New Roman"/>
        </w:rPr>
        <w:t xml:space="preserve"> has executed this Agreement as of the date first written above.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INDEPENDENT CONTRACTOR:</w:t>
        <w:tab/>
        <w:tab/>
        <w:t>CONTRACTING PARTY:</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GREGG &amp; REY ENGINEERING</w:t>
        <w:tab/>
        <w:tab/>
      </w:r>
      <w:del w:id="175" w:author="gnemec" w:date="1999-05-14T10:35:00Z">
        <w:r>
          <w:rPr>
            <w:rFonts w:cs="Times New Roman" w:ascii="Times New Roman" w:hAnsi="Times New Roman"/>
            <w:b/>
          </w:rPr>
          <w:delText>ENRON CORP.</w:delText>
        </w:r>
      </w:del>
      <w:ins w:id="176" w:author="gnemec" w:date="1999-05-14T10:35:00Z">
        <w:r>
          <w:rPr>
            <w:rFonts w:cs="Times New Roman" w:ascii="Times New Roman" w:hAnsi="Times New Roman"/>
            <w:b/>
          </w:rPr>
          <w:t>HOUSTON PIPE LINE COMPANY</w:t>
        </w:r>
      </w:ins>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 xml:space="preserve">CONSULTANTS, INC. </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By:</w:t>
      </w:r>
      <w:r>
        <w:rPr>
          <w:rFonts w:cs="Times New Roman" w:ascii="Times New Roman" w:hAnsi="Times New Roman"/>
          <w:b/>
          <w:u w:val="single"/>
        </w:rPr>
        <w:tab/>
      </w:r>
      <w:r>
        <w:rPr>
          <w:rFonts w:cs="Times New Roman" w:ascii="Times New Roman" w:hAnsi="Times New Roman"/>
          <w:b/>
        </w:rPr>
        <w:tab/>
        <w:t>By:</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pPr>
      <w:r>
        <w:rPr>
          <w:rFonts w:cs="Times New Roman" w:ascii="Times New Roman" w:hAnsi="Times New Roman"/>
          <w:b/>
        </w:rPr>
        <w:t>Name:</w:t>
      </w:r>
      <w:r>
        <w:rPr>
          <w:rFonts w:cs="Times New Roman" w:ascii="Times New Roman" w:hAnsi="Times New Roman"/>
          <w:b/>
          <w:u w:val="single"/>
        </w:rPr>
        <w:tab/>
      </w:r>
      <w:r>
        <w:rPr>
          <w:rFonts w:cs="Times New Roman" w:ascii="Times New Roman" w:hAnsi="Times New Roman"/>
          <w:b/>
        </w:rPr>
        <w:tab/>
        <w:t>Name: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Title:</w:t>
      </w:r>
      <w:r>
        <w:rPr>
          <w:rFonts w:cs="Times New Roman" w:ascii="Times New Roman" w:hAnsi="Times New Roman"/>
          <w:b/>
          <w:u w:val="single"/>
        </w:rPr>
        <w:tab/>
      </w:r>
      <w:r>
        <w:rPr>
          <w:rFonts w:cs="Times New Roman" w:ascii="Times New Roman" w:hAnsi="Times New Roman"/>
          <w:b/>
        </w:rPr>
        <w:tab/>
        <w:t>Title: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tabs>
          <w:tab w:val="clear" w:pos="720"/>
          <w:tab w:val="left" w:pos="4320" w:leader="none"/>
          <w:tab w:val="left" w:pos="5040" w:leader="none"/>
          <w:tab w:val="left" w:pos="9720" w:leader="none"/>
        </w:tabs>
        <w:jc w:val="both"/>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rPr>
      </w:r>
    </w:p>
    <w:p>
      <w:pPr>
        <w:pStyle w:val="Heading2"/>
        <w:ind w:hanging="0" w:start="0"/>
        <w:rPr>
          <w:del w:id="178" w:author="gnemec" w:date="1999-05-14T10:35:00Z"/>
        </w:rPr>
      </w:pPr>
      <w:del w:id="177" w:author="gnemec" w:date="1999-05-14T10:35:00Z">
        <w:r>
          <w:rPr/>
          <w:delText>ATTACHMENT “A”</w:delText>
        </w:r>
      </w:del>
    </w:p>
    <w:p>
      <w:pPr>
        <w:pStyle w:val="Heading2"/>
        <w:ind w:hanging="0" w:start="0"/>
        <w:rPr>
          <w:ins w:id="180" w:author="gnemec" w:date="1999-05-14T10:35:00Z"/>
        </w:rPr>
      </w:pPr>
      <w:ins w:id="179" w:author="gnemec" w:date="1999-05-14T10:35:00Z">
        <w:r>
          <w:rPr/>
          <w:t>EXHIBIT “A”</w:t>
        </w:r>
      </w:ins>
    </w:p>
    <w:p>
      <w:pPr>
        <w:pStyle w:val="Heading2"/>
        <w:ind w:hanging="0" w:start="0"/>
        <w:rPr/>
      </w:pPr>
      <w:ins w:id="181" w:author="gnemec" w:date="1999-05-14T10:35:00Z">
        <w:r>
          <w:rPr/>
          <w:t>SCOPE OF WORK</w:t>
        </w:r>
      </w:ins>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del w:id="182" w:author="gnemec" w:date="1999-05-14T10:35:00Z">
        <w:r>
          <w:rPr>
            <w:rFonts w:cs="Times New Roman" w:ascii="Times New Roman" w:hAnsi="Times New Roman"/>
          </w:rPr>
          <w:delText>As per Enron’s request concerning the services to be performed as specified hereunder and on behalf of Houston Pipeline, Independent Contractor and Contracting Party agree that given the lack of information and data at the beginning of the project, it is difficult to estimate an exact number of man-hours needed to complete the work.  Nevertheless, given</w:delText>
        </w:r>
      </w:del>
      <w:ins w:id="183" w:author="gnemec" w:date="1999-05-14T10:35:00Z">
        <w:r>
          <w:rPr>
            <w:rFonts w:cs="Times New Roman" w:ascii="Times New Roman" w:hAnsi="Times New Roman"/>
          </w:rPr>
          <w:t>Based on</w:t>
        </w:r>
      </w:ins>
      <w:r>
        <w:rPr>
          <w:rFonts w:cs="Times New Roman" w:ascii="Times New Roman" w:hAnsi="Times New Roman"/>
        </w:rPr>
        <w:t xml:space="preserve"> the information and data available at this time, Independent Contractor estimates that the </w:t>
      </w:r>
      <w:del w:id="184" w:author="gnemec" w:date="1999-05-14T10:35:00Z">
        <w:r>
          <w:rPr>
            <w:rFonts w:cs="Times New Roman" w:ascii="Times New Roman" w:hAnsi="Times New Roman"/>
          </w:rPr>
          <w:delText>serives</w:delText>
        </w:r>
      </w:del>
      <w:ins w:id="185" w:author="gnemec" w:date="1999-05-14T10:35:00Z">
        <w:r>
          <w:rPr>
            <w:rFonts w:cs="Times New Roman" w:ascii="Times New Roman" w:hAnsi="Times New Roman"/>
          </w:rPr>
          <w:t>Services</w:t>
        </w:r>
      </w:ins>
      <w:r>
        <w:rPr>
          <w:rFonts w:cs="Times New Roman" w:ascii="Times New Roman" w:hAnsi="Times New Roman"/>
        </w:rPr>
        <w:t xml:space="preserve"> will total </w:t>
      </w:r>
      <w:del w:id="186" w:author="gnemec" w:date="1999-05-14T10:35:00Z">
        <w:r>
          <w:rPr>
            <w:rFonts w:cs="Times New Roman" w:ascii="Times New Roman" w:hAnsi="Times New Roman"/>
          </w:rPr>
          <w:delText>ten-man</w:delText>
        </w:r>
      </w:del>
      <w:ins w:id="187" w:author="gnemec" w:date="1999-05-14T10:35:00Z">
        <w:r>
          <w:rPr>
            <w:rFonts w:cs="Times New Roman" w:ascii="Times New Roman" w:hAnsi="Times New Roman"/>
          </w:rPr>
          <w:t>10-man</w:t>
        </w:r>
      </w:ins>
      <w:r>
        <w:rPr>
          <w:rFonts w:cs="Times New Roman" w:ascii="Times New Roman" w:hAnsi="Times New Roman"/>
        </w:rPr>
        <w:t xml:space="preserve"> weeks, and further agrees to cap the total cost </w:t>
      </w:r>
      <w:ins w:id="188" w:author="gnemec" w:date="1999-05-14T10:35:00Z">
        <w:r>
          <w:rPr>
            <w:rFonts w:cs="Times New Roman" w:ascii="Times New Roman" w:hAnsi="Times New Roman"/>
          </w:rPr>
          <w:t xml:space="preserve">for the Services as described below </w:t>
        </w:r>
      </w:ins>
      <w:r>
        <w:rPr>
          <w:rFonts w:cs="Times New Roman" w:ascii="Times New Roman" w:hAnsi="Times New Roman"/>
        </w:rPr>
        <w:t xml:space="preserve">at $60,000 excluding any travel expenses.  The total cost is based on </w:t>
      </w:r>
      <w:del w:id="189" w:author="gnemec" w:date="1999-05-14T10:35:00Z">
        <w:r>
          <w:rPr>
            <w:rFonts w:cs="Times New Roman" w:ascii="Times New Roman" w:hAnsi="Times New Roman"/>
          </w:rPr>
          <w:delText>an hourly rate of $150.</w:delText>
        </w:r>
      </w:del>
      <w:ins w:id="190" w:author="gnemec" w:date="1999-05-14T10:35:00Z">
        <w:r>
          <w:rPr>
            <w:rFonts w:cs="Times New Roman" w:ascii="Times New Roman" w:hAnsi="Times New Roman"/>
          </w:rPr>
          <w:t>a rate of $150 per man hour.</w:t>
        </w:r>
      </w:ins>
    </w:p>
    <w:p>
      <w:pPr>
        <w:pStyle w:val="Normal"/>
        <w:jc w:val="both"/>
        <w:rPr>
          <w:rFonts w:ascii="Times New Roman" w:hAnsi="Times New Roman" w:cs="Times New Roman"/>
        </w:rPr>
      </w:pPr>
      <w:r>
        <w:rPr>
          <w:rFonts w:cs="Times New Roman" w:ascii="Times New Roman" w:hAnsi="Times New Roman"/>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del w:id="191" w:author="gnemec" w:date="1999-05-14T10:35:00Z">
        <w:r>
          <w:rPr>
            <w:rFonts w:cs="Times New Roman" w:ascii="Times New Roman" w:hAnsi="Times New Roman"/>
          </w:rPr>
          <w:delText>Contracting Party is anticipating that the scope of project described below will be applied to seven (7) different pipeline network areas as shown herein.  It is further understood</w:delText>
        </w:r>
      </w:del>
      <w:ins w:id="192" w:author="gnemec" w:date="1999-05-14T10:35:00Z">
        <w:r>
          <w:rPr>
            <w:rFonts w:cs="Times New Roman" w:ascii="Times New Roman" w:hAnsi="Times New Roman"/>
          </w:rPr>
          <w:t>The parties hereto agree</w:t>
        </w:r>
      </w:ins>
      <w:r>
        <w:rPr>
          <w:rFonts w:cs="Times New Roman" w:ascii="Times New Roman" w:hAnsi="Times New Roman"/>
        </w:rPr>
        <w:t xml:space="preserve"> that the work to be performed and the estimate given </w:t>
      </w:r>
      <w:del w:id="193" w:author="gnemec" w:date="1999-05-14T10:35:00Z">
        <w:r>
          <w:rPr>
            <w:rFonts w:cs="Times New Roman" w:ascii="Times New Roman" w:hAnsi="Times New Roman"/>
          </w:rPr>
          <w:delText>under this Service Agreement</w:delText>
        </w:r>
      </w:del>
      <w:ins w:id="194" w:author="gnemec" w:date="1999-05-14T10:35:00Z">
        <w:r>
          <w:rPr>
            <w:rFonts w:cs="Times New Roman" w:ascii="Times New Roman" w:hAnsi="Times New Roman"/>
          </w:rPr>
          <w:t>above</w:t>
        </w:r>
      </w:ins>
      <w:r>
        <w:rPr>
          <w:rFonts w:cs="Times New Roman" w:ascii="Times New Roman" w:hAnsi="Times New Roman"/>
        </w:rPr>
        <w:t xml:space="preserve"> is only for the Gulf Coast / MidTexas (Swinney Switch to Texas City / Dewville to Katy) pipeline areas.</w:t>
      </w:r>
    </w:p>
    <w:p>
      <w:pPr>
        <w:pStyle w:val="Normal"/>
        <w:rPr>
          <w:rFonts w:ascii="Times New Roman" w:hAnsi="Times New Roman" w:cs="Times New Roman"/>
          <w:del w:id="196" w:author="gnemec" w:date="1999-05-14T10:35:00Z"/>
        </w:rPr>
      </w:pPr>
      <w:r>
        <w:rPr>
          <w:rFonts w:cs="Times New Roman" w:ascii="Times New Roman" w:hAnsi="Times New Roman"/>
        </w:rPr>
        <w:br/>
      </w:r>
      <w:del w:id="195" w:author="gnemec" w:date="1999-05-14T10:35:00Z">
        <w:r>
          <w:rPr>
            <w:rFonts w:cs="Times New Roman" w:ascii="Times New Roman" w:hAnsi="Times New Roman"/>
            <w:b/>
          </w:rPr>
          <w:delText>Area Priorities:</w:delText>
          <w:br/>
        </w:r>
      </w:del>
    </w:p>
    <w:p>
      <w:pPr>
        <w:pStyle w:val="Normal"/>
        <w:rPr>
          <w:rFonts w:ascii="Times New Roman" w:hAnsi="Times New Roman" w:cs="Times New Roman"/>
        </w:rPr>
      </w:pPr>
      <w:del w:id="197" w:author="gnemec" w:date="1999-05-14T10:35:00Z">
        <w:r>
          <w:rPr>
            <w:rFonts w:cs="Times New Roman" w:ascii="Times New Roman" w:hAnsi="Times New Roman"/>
          </w:rPr>
          <w:delText>1. Gulf Coast / MidTexas (Swinney Switch to Texas City / Dewville to Katy)</w:delText>
          <w:br/>
          <w:delText>2. Houston Loop / Ship Channel / Valley</w:delText>
          <w:br/>
          <w:delText>3. Beaumont / Texoma</w:delText>
          <w:br/>
          <w:delText>4. Corpus Christi / Edinburg</w:delText>
          <w:br/>
          <w:delText>5. South Texas</w:delText>
          <w:br/>
          <w:delText>6. A/S Line</w:delText>
          <w:br/>
          <w:delText>7. LRC</w:delText>
          <w:br/>
        </w:r>
      </w:del>
    </w:p>
    <w:p>
      <w:pPr>
        <w:pStyle w:val="Normal"/>
        <w:jc w:val="both"/>
        <w:rPr/>
      </w:pPr>
      <w:r>
        <w:rPr>
          <w:rFonts w:cs="Times New Roman" w:ascii="Times New Roman" w:hAnsi="Times New Roman"/>
        </w:rPr>
        <w:t xml:space="preserve">The scope and description of the </w:t>
      </w:r>
      <w:del w:id="198" w:author="gnemec" w:date="1999-05-14T10:35:00Z">
        <w:r>
          <w:rPr>
            <w:rFonts w:cs="Times New Roman" w:ascii="Times New Roman" w:hAnsi="Times New Roman"/>
          </w:rPr>
          <w:delText>services</w:delText>
        </w:r>
      </w:del>
      <w:ins w:id="199" w:author="gnemec" w:date="1999-05-14T10:35:00Z">
        <w:r>
          <w:rPr>
            <w:rFonts w:cs="Times New Roman" w:ascii="Times New Roman" w:hAnsi="Times New Roman"/>
          </w:rPr>
          <w:t>Services</w:t>
        </w:r>
      </w:ins>
      <w:r>
        <w:rPr>
          <w:rFonts w:cs="Times New Roman" w:ascii="Times New Roman" w:hAnsi="Times New Roman"/>
        </w:rPr>
        <w:t xml:space="preserve"> to be performed are shown below:</w:t>
      </w:r>
    </w:p>
    <w:p>
      <w:pPr>
        <w:pStyle w:val="Normal"/>
        <w:jc w:val="both"/>
        <w:rPr>
          <w:rFonts w:ascii="Times New Roman" w:hAnsi="Times New Roman" w:cs="Times New Roman"/>
        </w:rPr>
      </w:pPr>
      <w:r>
        <w:rPr>
          <w:rFonts w:cs="Times New Roman" w:ascii="Times New Roman" w:hAnsi="Times New Roman"/>
        </w:rPr>
      </w:r>
    </w:p>
    <w:p>
      <w:pPr>
        <w:pStyle w:val="Normal"/>
        <w:jc w:val="center"/>
        <w:rPr>
          <w:b/>
          <w:sz w:val="28"/>
        </w:rPr>
      </w:pPr>
      <w:del w:id="200" w:author="gnemec" w:date="1999-05-14T10:35:00Z">
        <w:r>
          <w:rPr>
            <w:b/>
            <w:sz w:val="28"/>
          </w:rPr>
          <w:delText>ENRON PROJECT</w:delText>
        </w:r>
      </w:del>
      <w:ins w:id="201" w:author="gnemec" w:date="1999-05-14T10:35:00Z">
        <w:r>
          <w:rPr>
            <w:b/>
            <w:sz w:val="28"/>
          </w:rPr>
          <w:t>HOUSTON PIPE LINE COMPANY AND AFFILIATES</w:t>
        </w:r>
      </w:ins>
    </w:p>
    <w:p>
      <w:pPr>
        <w:pStyle w:val="Heading4"/>
        <w:ind w:hanging="0" w:start="0"/>
        <w:rPr/>
      </w:pPr>
      <w:del w:id="202" w:author="gnemec" w:date="1999-05-14T10:35:00Z">
        <w:r>
          <w:rPr>
            <w:b w:val="false"/>
          </w:rPr>
          <w:delText xml:space="preserve">HOUSTON PIPELINE </w:delText>
        </w:r>
      </w:del>
      <w:r>
        <w:rPr/>
        <w:t>MODEL ENHANCEMENT</w:t>
      </w:r>
    </w:p>
    <w:p>
      <w:pPr>
        <w:pStyle w:val="Heading1"/>
        <w:ind w:hanging="0" w:start="0"/>
        <w:jc w:val="center"/>
        <w:rPr>
          <w:sz w:val="28"/>
          <w:u w:val="single"/>
        </w:rPr>
      </w:pPr>
      <w:r>
        <w:rPr>
          <w:sz w:val="28"/>
          <w:u w:val="single"/>
        </w:rPr>
        <w:t>AND DATA CAPTURE</w:t>
      </w:r>
      <w:ins w:id="203" w:author="gnemec" w:date="1999-05-14T10:35:00Z">
        <w:r>
          <w:rPr>
            <w:sz w:val="28"/>
            <w:u w:val="single"/>
          </w:rPr>
          <w:t xml:space="preserve"> PROJECT</w:t>
        </w:r>
      </w:ins>
    </w:p>
    <w:p>
      <w:pPr>
        <w:pStyle w:val="Header"/>
        <w:tabs>
          <w:tab w:val="clear" w:pos="4320"/>
          <w:tab w:val="clear" w:pos="8640"/>
        </w:tabs>
        <w:rPr>
          <w:sz w:val="28"/>
          <w:u w:val="single"/>
        </w:rPr>
      </w:pPr>
      <w:r>
        <w:rPr>
          <w:sz w:val="28"/>
          <w:u w:val="single"/>
        </w:rPr>
      </w:r>
    </w:p>
    <w:p>
      <w:pPr>
        <w:pStyle w:val="Normal"/>
        <w:rPr/>
      </w:pPr>
      <w:r>
        <w:rPr/>
      </w:r>
    </w:p>
    <w:p>
      <w:pPr>
        <w:pStyle w:val="Header"/>
        <w:tabs>
          <w:tab w:val="clear" w:pos="4320"/>
          <w:tab w:val="clear" w:pos="8640"/>
        </w:tabs>
        <w:rPr>
          <w:sz w:val="24"/>
          <w:u w:val="single"/>
        </w:rPr>
      </w:pPr>
      <w:r>
        <w:rPr>
          <w:sz w:val="24"/>
          <w:u w:val="single"/>
        </w:rPr>
        <w:t>Phase I</w:t>
      </w:r>
    </w:p>
    <w:p>
      <w:pPr>
        <w:pStyle w:val="Normal"/>
        <w:rPr>
          <w:sz w:val="24"/>
          <w:u w:val="single"/>
        </w:rPr>
      </w:pPr>
      <w:r>
        <w:rPr>
          <w:sz w:val="24"/>
          <w:u w:val="single"/>
        </w:rPr>
      </w:r>
    </w:p>
    <w:p>
      <w:pPr>
        <w:pStyle w:val="Normal"/>
        <w:numPr>
          <w:ilvl w:val="0"/>
          <w:numId w:val="15"/>
        </w:numPr>
        <w:rPr/>
      </w:pPr>
      <w:r>
        <w:rPr/>
        <w:t xml:space="preserve">Obtain Arc Info files from </w:t>
      </w:r>
      <w:del w:id="204" w:author="gnemec" w:date="1999-05-14T10:35:00Z">
        <w:r>
          <w:rPr/>
          <w:delText>Enron</w:delText>
        </w:r>
      </w:del>
      <w:ins w:id="205" w:author="gnemec" w:date="1999-05-14T10:35:00Z">
        <w:r>
          <w:rPr/>
          <w:t>HPL</w:t>
        </w:r>
      </w:ins>
      <w:r>
        <w:rPr/>
        <w:t xml:space="preserve"> for each of the seven defined systems:</w:t>
      </w:r>
    </w:p>
    <w:p>
      <w:pPr>
        <w:pStyle w:val="Normal"/>
        <w:rPr/>
      </w:pPr>
      <w:r>
        <w:rPr/>
        <w:tab/>
      </w:r>
    </w:p>
    <w:p>
      <w:pPr>
        <w:pStyle w:val="Normal"/>
        <w:numPr>
          <w:ilvl w:val="0"/>
          <w:numId w:val="7"/>
        </w:numPr>
        <w:rPr/>
      </w:pPr>
      <w:r>
        <w:rPr/>
        <w:t xml:space="preserve">Node File:  </w:t>
      </w:r>
      <w:del w:id="206" w:author="gnemec" w:date="1999-05-14T10:35:00Z">
        <w:r>
          <w:rPr/>
          <w:delText>Enron</w:delText>
        </w:r>
      </w:del>
      <w:ins w:id="207" w:author="gnemec" w:date="1999-05-14T10:35:00Z">
        <w:r>
          <w:rPr/>
          <w:t>HPL</w:t>
        </w:r>
      </w:ins>
      <w:r>
        <w:rPr/>
        <w:t xml:space="preserve"> will provide Gregg Engineering with an ASCII File in the following format:</w:t>
      </w:r>
    </w:p>
    <w:p>
      <w:pPr>
        <w:pStyle w:val="Normal"/>
        <w:ind w:start="360" w:end="0"/>
        <w:rPr/>
      </w:pPr>
      <w:r>
        <w:rPr/>
      </w:r>
    </w:p>
    <w:p>
      <w:pPr>
        <w:pStyle w:val="Normal"/>
        <w:ind w:start="720" w:end="0"/>
        <w:rPr>
          <w:b/>
          <w:i/>
          <w:i/>
        </w:rPr>
      </w:pPr>
      <w:r>
        <w:rPr>
          <w:b/>
          <w:i/>
        </w:rPr>
        <w:t>Node Unique Identifier, Node Unique Identifier, x-coordinate, y-coordinate,</w:t>
      </w:r>
    </w:p>
    <w:p>
      <w:pPr>
        <w:pStyle w:val="Normal"/>
        <w:ind w:start="720" w:end="0"/>
        <w:rPr>
          <w:b/>
          <w:i/>
          <w:i/>
        </w:rPr>
      </w:pPr>
      <w:r>
        <w:rPr>
          <w:b/>
          <w:i/>
        </w:rPr>
      </w:r>
    </w:p>
    <w:p>
      <w:pPr>
        <w:pStyle w:val="Normal"/>
        <w:numPr>
          <w:ilvl w:val="0"/>
          <w:numId w:val="7"/>
        </w:numPr>
        <w:rPr/>
      </w:pPr>
      <w:r>
        <w:rPr/>
        <w:t xml:space="preserve">Leg File:  </w:t>
      </w:r>
      <w:del w:id="208" w:author="gnemec" w:date="1999-05-14T10:35:00Z">
        <w:r>
          <w:rPr/>
          <w:delText>Enron</w:delText>
        </w:r>
      </w:del>
      <w:ins w:id="209" w:author="gnemec" w:date="1999-05-14T10:35:00Z">
        <w:r>
          <w:rPr/>
          <w:t>HPL</w:t>
        </w:r>
      </w:ins>
      <w:r>
        <w:rPr/>
        <w:t xml:space="preserve"> will provide Gregg Engineering with an ASCII File in the following format:</w:t>
      </w:r>
    </w:p>
    <w:p>
      <w:pPr>
        <w:pStyle w:val="Normal"/>
        <w:ind w:start="360" w:end="0"/>
        <w:rPr/>
      </w:pPr>
      <w:r>
        <w:rPr/>
      </w:r>
    </w:p>
    <w:p>
      <w:pPr>
        <w:pStyle w:val="Normal"/>
        <w:ind w:start="720" w:end="0"/>
        <w:rPr/>
      </w:pPr>
      <w:r>
        <w:rPr>
          <w:b/>
          <w:i/>
        </w:rPr>
        <w:t xml:space="preserve">From Node Unique Identifier, To Node Unique Identifier, Leg Unique Identifier, Leg Unique Identifier, Length (in </w:t>
      </w:r>
      <w:del w:id="210" w:author="gnemec" w:date="1999-05-14T10:35:00Z">
        <w:r>
          <w:rPr>
            <w:b/>
            <w:i/>
          </w:rPr>
          <w:delText>Enron</w:delText>
        </w:r>
      </w:del>
      <w:ins w:id="211" w:author="gnemec" w:date="1999-05-14T10:35:00Z">
        <w:r>
          <w:rPr>
            <w:b/>
            <w:i/>
          </w:rPr>
          <w:t>HPL</w:t>
        </w:r>
      </w:ins>
      <w:r>
        <w:rPr>
          <w:b/>
          <w:i/>
        </w:rPr>
        <w:t xml:space="preserve"> desired units), system number, company number, account number, diameter,</w:t>
      </w:r>
    </w:p>
    <w:p>
      <w:pPr>
        <w:pStyle w:val="Normal"/>
        <w:ind w:start="720" w:end="0"/>
        <w:rPr>
          <w:b/>
          <w:i/>
          <w:i/>
        </w:rPr>
      </w:pPr>
      <w:r>
        <w:rPr>
          <w:b/>
          <w:i/>
        </w:rPr>
      </w:r>
    </w:p>
    <w:p>
      <w:pPr>
        <w:pStyle w:val="Normal"/>
        <w:numPr>
          <w:ilvl w:val="0"/>
          <w:numId w:val="7"/>
        </w:numPr>
        <w:rPr/>
      </w:pPr>
      <w:r>
        <w:rPr/>
        <w:t xml:space="preserve">Meter File:  </w:t>
      </w:r>
      <w:del w:id="212" w:author="gnemec" w:date="1999-05-14T10:35:00Z">
        <w:r>
          <w:rPr/>
          <w:delText>Enron</w:delText>
        </w:r>
      </w:del>
      <w:ins w:id="213" w:author="gnemec" w:date="1999-05-14T10:35:00Z">
        <w:r>
          <w:rPr/>
          <w:t>HPL</w:t>
        </w:r>
      </w:ins>
      <w:r>
        <w:rPr/>
        <w:t xml:space="preserve"> will provide Gregg Engineering with an ASCII File in the following format:</w:t>
      </w:r>
    </w:p>
    <w:p>
      <w:pPr>
        <w:pStyle w:val="Normal"/>
        <w:ind w:start="360" w:end="0"/>
        <w:rPr/>
      </w:pPr>
      <w:r>
        <w:rPr/>
      </w:r>
    </w:p>
    <w:p>
      <w:pPr>
        <w:pStyle w:val="Normal"/>
        <w:ind w:start="720" w:end="0"/>
        <w:rPr>
          <w:b/>
          <w:i/>
          <w:i/>
        </w:rPr>
      </w:pPr>
      <w:r>
        <w:rPr>
          <w:b/>
          <w:i/>
        </w:rPr>
        <w:t>Meter number, x-coordinate, y-coordinate,</w:t>
      </w:r>
    </w:p>
    <w:p>
      <w:pPr>
        <w:pStyle w:val="Normal"/>
        <w:ind w:start="720" w:end="0"/>
        <w:rPr>
          <w:b/>
          <w:i/>
          <w:i/>
        </w:rPr>
      </w:pPr>
      <w:r>
        <w:rPr>
          <w:b/>
          <w:i/>
        </w:rPr>
      </w:r>
    </w:p>
    <w:p>
      <w:pPr>
        <w:pStyle w:val="Heading2"/>
        <w:ind w:hanging="0" w:start="0"/>
        <w:rPr/>
      </w:pPr>
      <w:r>
        <w:rPr/>
        <w:t>Note:  The unique identifier will be dumped twice for the nodes and legs file for initial model creation.  It is Gregg Engineering’s understanding that the “meters” are in the Arcview system – but may not be placed on the correct node.  We will in Phase I create the meter behind the closest node based on the x and y and in Phase II, verify all meter locations in relation to the system nodes.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2"/>
        <w:rPr/>
      </w:pPr>
      <w:r>
        <w:rPr/>
        <w:t xml:space="preserve">Phase I Deliverable to </w:t>
      </w:r>
      <w:del w:id="214" w:author="gnemec" w:date="1999-05-14T10:35:00Z">
        <w:r>
          <w:rPr/>
          <w:delText>Enron</w:delText>
        </w:r>
      </w:del>
      <w:ins w:id="215" w:author="gnemec" w:date="1999-05-14T10:35:00Z">
        <w:r>
          <w:rPr/>
          <w:t>HPL</w:t>
        </w:r>
      </w:ins>
      <w:r>
        <w:rPr/>
        <w:t xml:space="preserve"> will be a model created for connectivity purposes for verification of the Arc Info information.  </w:t>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w:t>
      </w:r>
    </w:p>
    <w:p>
      <w:pPr>
        <w:pStyle w:val="Normal"/>
        <w:rPr>
          <w:sz w:val="24"/>
          <w:u w:val="single"/>
        </w:rPr>
      </w:pPr>
      <w:r>
        <w:rPr>
          <w:sz w:val="24"/>
          <w:u w:val="single"/>
        </w:rPr>
      </w:r>
    </w:p>
    <w:p>
      <w:pPr>
        <w:pStyle w:val="Normal"/>
        <w:numPr>
          <w:ilvl w:val="0"/>
          <w:numId w:val="19"/>
        </w:numPr>
        <w:rPr/>
      </w:pPr>
      <w:r>
        <w:rPr/>
        <w:t xml:space="preserve">Obtain alignment sheets, gate layouts and valve location maps for each of the seven defined systems from </w:t>
      </w:r>
      <w:del w:id="216" w:author="gnemec" w:date="1999-05-14T10:35:00Z">
        <w:r>
          <w:rPr/>
          <w:delText>Enron.</w:delText>
        </w:r>
      </w:del>
      <w:ins w:id="217" w:author="gnemec" w:date="1999-05-14T10:35:00Z">
        <w:r>
          <w:rPr/>
          <w:t>HPL.</w:t>
        </w:r>
      </w:ins>
    </w:p>
    <w:p>
      <w:pPr>
        <w:pStyle w:val="Normal"/>
        <w:rPr/>
      </w:pPr>
      <w:r>
        <w:rPr/>
      </w:r>
    </w:p>
    <w:p>
      <w:pPr>
        <w:pStyle w:val="Normal"/>
        <w:rPr/>
      </w:pPr>
      <w:r>
        <w:rPr/>
        <w:t>Gregg Engineering will verify and update the hydraulic model created from Phase I by comparing the WinFlow model to the Alignment Sheets.  Gregg Engineering will update the WinFlow model to match the information detailed in the Alignment Sheets for that system.  The following is the convention for the data capture and creation.</w:t>
      </w:r>
    </w:p>
    <w:p>
      <w:pPr>
        <w:pStyle w:val="Normal"/>
        <w:rPr/>
      </w:pPr>
      <w:r>
        <w:rPr/>
      </w:r>
    </w:p>
    <w:p>
      <w:pPr>
        <w:pStyle w:val="Normal"/>
        <w:rPr/>
      </w:pPr>
      <w:del w:id="218" w:author="gnemec" w:date="1999-05-14T10:35:00Z">
        <w:r>
          <w:rPr/>
          <w:delText>Enron</w:delText>
        </w:r>
      </w:del>
      <w:ins w:id="219" w:author="gnemec" w:date="1999-05-14T10:35:00Z">
        <w:r>
          <w:rPr/>
          <w:t>HPL</w:t>
        </w:r>
      </w:ins>
      <w:r>
        <w:rPr/>
        <w:t xml:space="preserve"> will provide Gregg Engineering with an example wfp file and associated maps that are marked for Data Capture.  This wfp file will also be used by Gregg Engineering for the “Default Values” for model creation.</w:t>
      </w:r>
    </w:p>
    <w:p>
      <w:pPr>
        <w:pStyle w:val="Normal"/>
        <w:rPr/>
      </w:pPr>
      <w:r>
        <w:rPr/>
      </w:r>
    </w:p>
    <w:p>
      <w:pPr>
        <w:pStyle w:val="Heading3"/>
        <w:ind w:hanging="0" w:start="0"/>
        <w:rPr/>
      </w:pPr>
      <w:r>
        <w:rPr/>
        <w:t>Nodes</w:t>
      </w:r>
    </w:p>
    <w:p>
      <w:pPr>
        <w:pStyle w:val="Normal"/>
        <w:rPr>
          <w:u w:val="single"/>
        </w:rPr>
      </w:pPr>
      <w:r>
        <w:rPr>
          <w:u w:val="single"/>
        </w:rPr>
      </w:r>
    </w:p>
    <w:p>
      <w:pPr>
        <w:pStyle w:val="Heading3"/>
        <w:ind w:hanging="0" w:start="0"/>
        <w:rPr/>
      </w:pPr>
      <w:r>
        <w:rPr/>
        <w:t>Node Naming Convention</w:t>
      </w:r>
    </w:p>
    <w:p>
      <w:pPr>
        <w:pStyle w:val="Normal"/>
        <w:rPr/>
      </w:pPr>
      <w:r>
        <w:rPr/>
      </w:r>
    </w:p>
    <w:p>
      <w:pPr>
        <w:pStyle w:val="Normal"/>
        <w:numPr>
          <w:ilvl w:val="0"/>
          <w:numId w:val="17"/>
        </w:numPr>
        <w:rPr/>
      </w:pPr>
      <w:r>
        <w:rPr/>
        <w:t>For nodes on the upstream and downstream side of non-pipe leg types, the following naming convention will apply:</w:t>
      </w:r>
    </w:p>
    <w:p>
      <w:pPr>
        <w:pStyle w:val="Normal"/>
        <w:rPr/>
      </w:pPr>
      <w:r>
        <w:rPr/>
      </w:r>
    </w:p>
    <w:p>
      <w:pPr>
        <w:pStyle w:val="Normal"/>
        <w:numPr>
          <w:ilvl w:val="0"/>
          <w:numId w:val="8"/>
        </w:numPr>
        <w:rPr/>
      </w:pPr>
      <w:r>
        <w:rPr/>
        <w:t>Compressor Stations:  CS_HPL Commonly Used Equipment Name _ U or  D</w:t>
      </w:r>
    </w:p>
    <w:p>
      <w:pPr>
        <w:pStyle w:val="Normal"/>
        <w:numPr>
          <w:ilvl w:val="0"/>
          <w:numId w:val="8"/>
        </w:numPr>
        <w:rPr/>
      </w:pPr>
      <w:r>
        <w:rPr/>
        <w:t>Mainline Valves:      MLV_ HPL Commonly Used Equipment Name _ U or  D</w:t>
      </w:r>
    </w:p>
    <w:p>
      <w:pPr>
        <w:pStyle w:val="Normal"/>
        <w:numPr>
          <w:ilvl w:val="0"/>
          <w:numId w:val="8"/>
        </w:numPr>
        <w:rPr/>
      </w:pPr>
      <w:r>
        <w:rPr/>
        <w:t>Regulators:                REG_ HPL Commonly Used Equipment Name _ U or  D</w:t>
      </w:r>
    </w:p>
    <w:p>
      <w:pPr>
        <w:pStyle w:val="Normal"/>
        <w:numPr>
          <w:ilvl w:val="0"/>
          <w:numId w:val="8"/>
        </w:numPr>
        <w:rPr/>
      </w:pPr>
      <w:r>
        <w:rPr/>
        <w:t>Check Valve:           CHK_ HPL Commonly Used Equipment Name _ U or  D</w:t>
      </w:r>
    </w:p>
    <w:p>
      <w:pPr>
        <w:pStyle w:val="Normal"/>
        <w:ind w:start="360" w:end="0"/>
        <w:rPr/>
      </w:pPr>
      <w:r>
        <w:rPr/>
        <w:t xml:space="preserve">Example:  The upstream or suction node for the Bammel Compressor Station </w:t>
      </w:r>
    </w:p>
    <w:p>
      <w:pPr>
        <w:pStyle w:val="Normal"/>
        <w:ind w:start="360" w:end="0"/>
        <w:rPr/>
      </w:pPr>
      <w:r>
        <w:rPr/>
        <w:tab/>
        <w:tab/>
      </w:r>
      <w:r>
        <w:rPr>
          <w:b/>
        </w:rPr>
        <w:t>CS_Bammel_U</w:t>
      </w:r>
    </w:p>
    <w:p>
      <w:pPr>
        <w:pStyle w:val="Normal"/>
        <w:ind w:start="360" w:end="0"/>
        <w:rPr>
          <w:b/>
        </w:rPr>
      </w:pPr>
      <w:r>
        <w:rPr>
          <w:b/>
        </w:rPr>
      </w:r>
    </w:p>
    <w:p>
      <w:pPr>
        <w:pStyle w:val="Normal"/>
        <w:numPr>
          <w:ilvl w:val="0"/>
          <w:numId w:val="17"/>
        </w:numPr>
        <w:rPr/>
      </w:pPr>
      <w:r>
        <w:rPr/>
        <w:t>For Nodes with Known Gas Field Names or Common Producer:  Use the Known Gas Field Name or Common Producer</w:t>
      </w:r>
    </w:p>
    <w:p>
      <w:pPr>
        <w:pStyle w:val="Normal"/>
        <w:rPr/>
      </w:pPr>
      <w:r>
        <w:rPr/>
      </w:r>
    </w:p>
    <w:p>
      <w:pPr>
        <w:pStyle w:val="Normal"/>
        <w:ind w:start="360" w:end="0"/>
        <w:rPr/>
      </w:pPr>
      <w:r>
        <w:rPr/>
        <w:t xml:space="preserve">Example:  </w:t>
      </w:r>
      <w:r>
        <w:rPr>
          <w:b/>
        </w:rPr>
        <w:t>LAMAR</w:t>
      </w:r>
    </w:p>
    <w:p>
      <w:pPr>
        <w:pStyle w:val="BodyTextIndent"/>
        <w:rPr/>
      </w:pPr>
      <w:r>
        <w:rPr/>
        <w:t>This would be nodes that would be a receipt or delivery and would typically have meters associated with the “Common Producer”</w:t>
      </w:r>
    </w:p>
    <w:p>
      <w:pPr>
        <w:pStyle w:val="Normal"/>
        <w:rPr/>
      </w:pPr>
      <w:r>
        <w:rPr/>
      </w:r>
    </w:p>
    <w:p>
      <w:pPr>
        <w:pStyle w:val="Normal"/>
        <w:numPr>
          <w:ilvl w:val="0"/>
          <w:numId w:val="17"/>
        </w:numPr>
        <w:rPr/>
      </w:pPr>
      <w:r>
        <w:rPr/>
        <w:t>All other nodes:  These nodes would be nodes that connect different diameter pipe, a point of reference, etc.</w:t>
      </w:r>
    </w:p>
    <w:p>
      <w:pPr>
        <w:pStyle w:val="Normal"/>
        <w:rPr/>
      </w:pPr>
      <w:r>
        <w:rPr/>
      </w:r>
    </w:p>
    <w:p>
      <w:pPr>
        <w:pStyle w:val="Normal"/>
        <w:ind w:start="360" w:end="0"/>
        <w:rPr/>
      </w:pPr>
      <w:r>
        <w:rPr/>
        <w:t>Account Code (4 digit)_Station plus designation (Mile Post)_Zero Leg Name, the name of the nearest upstream leg where the milepost is re-zeroed.</w:t>
      </w:r>
    </w:p>
    <w:p>
      <w:pPr>
        <w:pStyle w:val="Normal"/>
        <w:ind w:start="360" w:end="0"/>
        <w:rPr/>
      </w:pPr>
      <w:r>
        <w:rPr/>
      </w:r>
    </w:p>
    <w:p>
      <w:pPr>
        <w:pStyle w:val="Normal"/>
        <w:ind w:start="360" w:end="0"/>
        <w:rPr/>
      </w:pPr>
      <w:r>
        <w:rPr/>
        <w:t xml:space="preserve">Example:  </w:t>
      </w:r>
      <w:r>
        <w:rPr>
          <w:b/>
        </w:rPr>
        <w:t>2345_11+114_CS_Bammel</w:t>
      </w:r>
    </w:p>
    <w:p>
      <w:pPr>
        <w:pStyle w:val="Normal"/>
        <w:ind w:start="360" w:end="0"/>
        <w:rPr>
          <w:i/>
          <w:i/>
        </w:rPr>
      </w:pPr>
      <w:r>
        <w:rPr>
          <w:i/>
        </w:rPr>
        <w:t>Note:  The Zero Leg Name would only apply if the “pipeline” begins again or is “zeroed”.</w:t>
      </w:r>
    </w:p>
    <w:p>
      <w:pPr>
        <w:pStyle w:val="Normal"/>
        <w:ind w:start="360" w:end="0"/>
        <w:rPr>
          <w:i/>
          <w:i/>
        </w:rPr>
      </w:pPr>
      <w:r>
        <w:rPr>
          <w:i/>
        </w:rPr>
      </w:r>
      <w:r>
        <w:br w:type="page"/>
      </w:r>
    </w:p>
    <w:p>
      <w:pPr>
        <w:pStyle w:val="Header"/>
        <w:tabs>
          <w:tab w:val="clear" w:pos="4320"/>
          <w:tab w:val="clear" w:pos="8640"/>
        </w:tabs>
        <w:rPr>
          <w:u w:val="single"/>
        </w:rPr>
      </w:pPr>
      <w:r>
        <w:rPr>
          <w:u w:val="single"/>
        </w:rPr>
        <w:t>Node Label and Node Class Naming Convention</w:t>
      </w:r>
    </w:p>
    <w:p>
      <w:pPr>
        <w:pStyle w:val="Normal"/>
        <w:rPr>
          <w:u w:val="single"/>
        </w:rPr>
      </w:pPr>
      <w:r>
        <w:rPr>
          <w:u w:val="single"/>
        </w:rPr>
      </w:r>
    </w:p>
    <w:p>
      <w:pPr>
        <w:pStyle w:val="Normal"/>
        <w:numPr>
          <w:ilvl w:val="0"/>
          <w:numId w:val="3"/>
        </w:numPr>
        <w:rPr/>
      </w:pPr>
      <w:r>
        <w:rPr/>
        <w:t>Node Label 1 – Open, to be determined</w:t>
      </w:r>
    </w:p>
    <w:p>
      <w:pPr>
        <w:pStyle w:val="Normal"/>
        <w:rPr/>
      </w:pPr>
      <w:r>
        <w:rPr/>
      </w:r>
    </w:p>
    <w:p>
      <w:pPr>
        <w:pStyle w:val="Normal"/>
        <w:numPr>
          <w:ilvl w:val="0"/>
          <w:numId w:val="3"/>
        </w:numPr>
        <w:rPr/>
      </w:pPr>
      <w:r>
        <w:rPr/>
        <w:t>Node Label 2 – Rate Zone, Trade Zone, 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5"/>
        </w:numPr>
        <w:rPr>
          <w:b/>
        </w:rPr>
      </w:pPr>
      <w:r>
        <w:rPr/>
        <w:t>Node Label 3 – Open, to be determined</w:t>
      </w:r>
    </w:p>
    <w:p>
      <w:pPr>
        <w:pStyle w:val="Normal"/>
        <w:rPr>
          <w:b/>
        </w:rPr>
      </w:pPr>
      <w:r>
        <w:rPr>
          <w:b/>
        </w:rPr>
      </w:r>
    </w:p>
    <w:p>
      <w:pPr>
        <w:pStyle w:val="Normal"/>
        <w:numPr>
          <w:ilvl w:val="0"/>
          <w:numId w:val="14"/>
        </w:numPr>
        <w:rPr>
          <w:b/>
        </w:rPr>
      </w:pPr>
      <w:r>
        <w:rPr/>
        <w:t>Node Label 4 – Unique ID from GIS</w:t>
      </w:r>
    </w:p>
    <w:p>
      <w:pPr>
        <w:pStyle w:val="Normal"/>
        <w:ind w:start="360" w:end="0"/>
        <w:rPr/>
      </w:pPr>
      <w:r>
        <w:rPr/>
        <w:t xml:space="preserve">Example:  </w:t>
      </w:r>
      <w:r>
        <w:rPr>
          <w:b/>
        </w:rPr>
        <w:t>013</w:t>
      </w:r>
    </w:p>
    <w:p>
      <w:pPr>
        <w:pStyle w:val="Normal"/>
        <w:ind w:start="360" w:end="0"/>
        <w:rPr>
          <w:b/>
        </w:rPr>
      </w:pPr>
      <w:r>
        <w:rPr>
          <w:b/>
        </w:rPr>
      </w:r>
    </w:p>
    <w:p>
      <w:pPr>
        <w:pStyle w:val="Normal"/>
        <w:numPr>
          <w:ilvl w:val="0"/>
          <w:numId w:val="18"/>
        </w:numPr>
        <w:rPr/>
      </w:pPr>
      <w:r>
        <w:rPr/>
        <w:t xml:space="preserve">Node Class – </w:t>
      </w:r>
      <w:r>
        <w:rPr>
          <w:b/>
        </w:rPr>
        <w:t>1000</w:t>
      </w:r>
      <w:r>
        <w:rPr/>
        <w:t xml:space="preserve"> for  non-scada points and </w:t>
      </w:r>
      <w:r>
        <w:rPr>
          <w:b/>
        </w:rPr>
        <w:t>2000</w:t>
      </w:r>
      <w:r>
        <w:rPr/>
        <w:t xml:space="preserve"> for scada points</w:t>
      </w:r>
    </w:p>
    <w:p>
      <w:pPr>
        <w:pStyle w:val="Normal"/>
        <w:rPr/>
      </w:pPr>
      <w:r>
        <w:rPr/>
      </w:r>
    </w:p>
    <w:p>
      <w:pPr>
        <w:pStyle w:val="Normal"/>
        <w:rPr/>
      </w:pPr>
      <w:r>
        <w:rPr/>
      </w:r>
    </w:p>
    <w:p>
      <w:pPr>
        <w:pStyle w:val="Heading3"/>
        <w:ind w:hanging="0" w:start="0"/>
        <w:rPr/>
      </w:pPr>
      <w:r>
        <w:rPr/>
        <w:t>Meter Naming Convention</w:t>
      </w:r>
    </w:p>
    <w:p>
      <w:pPr>
        <w:pStyle w:val="Normal"/>
        <w:rPr/>
      </w:pPr>
      <w:r>
        <w:rPr/>
      </w:r>
    </w:p>
    <w:p>
      <w:pPr>
        <w:pStyle w:val="Normal"/>
        <w:numPr>
          <w:ilvl w:val="0"/>
          <w:numId w:val="16"/>
        </w:numPr>
        <w:rPr/>
      </w:pPr>
      <w:r>
        <w:rPr/>
        <w:t>Meter Name:  Meter Number (4 digit)</w:t>
      </w:r>
    </w:p>
    <w:p>
      <w:pPr>
        <w:pStyle w:val="Normal"/>
        <w:ind w:start="360" w:end="0"/>
        <w:rPr/>
      </w:pPr>
      <w:r>
        <w:rPr/>
        <w:t xml:space="preserve">Example:  </w:t>
      </w:r>
      <w:r>
        <w:rPr>
          <w:b/>
        </w:rPr>
        <w:t>0134</w:t>
      </w:r>
    </w:p>
    <w:p>
      <w:pPr>
        <w:pStyle w:val="Normal"/>
        <w:ind w:start="360" w:end="0"/>
        <w:rPr>
          <w:b/>
        </w:rPr>
      </w:pPr>
      <w:r>
        <w:rPr>
          <w:b/>
        </w:rPr>
      </w:r>
    </w:p>
    <w:p>
      <w:pPr>
        <w:pStyle w:val="Normal"/>
        <w:numPr>
          <w:ilvl w:val="0"/>
          <w:numId w:val="16"/>
        </w:numPr>
        <w:rPr/>
      </w:pPr>
      <w:r>
        <w:rPr/>
        <w:t>Meter Class – 1000 for non-scada points “+” company name or 2000 for scada points “+” the company name (3 –digit).</w:t>
      </w:r>
    </w:p>
    <w:p>
      <w:pPr>
        <w:pStyle w:val="Normal"/>
        <w:ind w:start="360" w:end="0"/>
        <w:rPr/>
      </w:pPr>
      <w:r>
        <w:rPr/>
        <w:t xml:space="preserve">Example:  </w:t>
      </w:r>
      <w:r>
        <w:rPr>
          <w:b/>
        </w:rPr>
        <w:t>1012</w:t>
      </w:r>
    </w:p>
    <w:p>
      <w:pPr>
        <w:pStyle w:val="Normal"/>
        <w:rPr>
          <w:b/>
        </w:rPr>
      </w:pPr>
      <w:r>
        <w:rPr>
          <w:b/>
        </w:rPr>
      </w:r>
    </w:p>
    <w:p>
      <w:pPr>
        <w:pStyle w:val="Normal"/>
        <w:rPr>
          <w:b/>
        </w:rPr>
      </w:pPr>
      <w:r>
        <w:rPr>
          <w:b/>
        </w:rPr>
      </w:r>
    </w:p>
    <w:p>
      <w:pPr>
        <w:pStyle w:val="BodyText"/>
        <w:rPr/>
      </w:pPr>
      <w:r>
        <w:rPr/>
        <w:t xml:space="preserve">Note:  Meter information will be initially created from the GIS system and verified with the Gate Layouts provided from </w:t>
      </w:r>
      <w:del w:id="220" w:author="gnemec" w:date="1999-05-14T10:35:00Z">
        <w:r>
          <w:rPr/>
          <w:delText>Enron.</w:delText>
        </w:r>
      </w:del>
      <w:ins w:id="221" w:author="gnemec" w:date="1999-05-14T10:35:00Z">
        <w:r>
          <w:rPr/>
          <w:t>HPL.</w:t>
        </w:r>
      </w:ins>
      <w:r>
        <w:rPr/>
        <w:t xml:space="preserve">  Gregg Engineering will provide </w:t>
      </w:r>
      <w:del w:id="222" w:author="gnemec" w:date="1999-05-14T10:35:00Z">
        <w:r>
          <w:rPr/>
          <w:delText>Enron</w:delText>
        </w:r>
      </w:del>
      <w:ins w:id="223" w:author="gnemec" w:date="1999-05-14T10:35:00Z">
        <w:r>
          <w:rPr/>
          <w:t>HPL</w:t>
        </w:r>
      </w:ins>
      <w:r>
        <w:rPr/>
        <w:t xml:space="preserve"> with a discrepancy report with the meters that exist in the Gate layout that do not reside in the GIS system.</w:t>
      </w:r>
    </w:p>
    <w:p>
      <w:pPr>
        <w:pStyle w:val="Normal"/>
        <w:rPr>
          <w:b/>
        </w:rPr>
      </w:pPr>
      <w:r>
        <w:rPr>
          <w:b/>
        </w:rPr>
      </w:r>
    </w:p>
    <w:p>
      <w:pPr>
        <w:pStyle w:val="Normal"/>
        <w:rPr>
          <w:b/>
        </w:rPr>
      </w:pPr>
      <w:r>
        <w:rPr>
          <w:b/>
        </w:rPr>
      </w:r>
    </w:p>
    <w:p>
      <w:pPr>
        <w:pStyle w:val="Heading3"/>
        <w:ind w:hanging="0" w:start="0"/>
        <w:rPr/>
      </w:pPr>
      <w:r>
        <w:rPr/>
        <w:t>Leg Naming Convention</w:t>
      </w:r>
    </w:p>
    <w:p>
      <w:pPr>
        <w:pStyle w:val="Normal"/>
        <w:rPr>
          <w:u w:val="single"/>
        </w:rPr>
      </w:pPr>
      <w:r>
        <w:rPr>
          <w:u w:val="single"/>
        </w:rPr>
      </w:r>
    </w:p>
    <w:p>
      <w:pPr>
        <w:pStyle w:val="Normal"/>
        <w:numPr>
          <w:ilvl w:val="0"/>
          <w:numId w:val="2"/>
        </w:numPr>
        <w:rPr/>
      </w:pPr>
      <w:r>
        <w:rPr/>
        <w:t>For non-pipe leg types, the following naming convention will apply:</w:t>
      </w:r>
    </w:p>
    <w:p>
      <w:pPr>
        <w:pStyle w:val="Normal"/>
        <w:rPr/>
      </w:pPr>
      <w:r>
        <w:rPr/>
      </w:r>
    </w:p>
    <w:p>
      <w:pPr>
        <w:pStyle w:val="Normal"/>
        <w:numPr>
          <w:ilvl w:val="0"/>
          <w:numId w:val="8"/>
        </w:numPr>
        <w:rPr/>
      </w:pPr>
      <w:r>
        <w:rPr/>
        <w:t xml:space="preserve">Compressor Stations:  CS_HPL Commonly Used Equipment Name </w:t>
      </w:r>
    </w:p>
    <w:p>
      <w:pPr>
        <w:pStyle w:val="Normal"/>
        <w:numPr>
          <w:ilvl w:val="0"/>
          <w:numId w:val="8"/>
        </w:numPr>
        <w:rPr/>
      </w:pPr>
      <w:r>
        <w:rPr/>
        <w:t xml:space="preserve">Mainline Valves:      MLV_ HPL Commonly Used Equipment Name </w:t>
      </w:r>
    </w:p>
    <w:p>
      <w:pPr>
        <w:pStyle w:val="Normal"/>
        <w:numPr>
          <w:ilvl w:val="0"/>
          <w:numId w:val="8"/>
        </w:numPr>
        <w:rPr/>
      </w:pPr>
      <w:r>
        <w:rPr/>
        <w:t xml:space="preserve">Regulators:                REG_ HPL Commonly Used Equipment Name </w:t>
      </w:r>
    </w:p>
    <w:p>
      <w:pPr>
        <w:pStyle w:val="Normal"/>
        <w:numPr>
          <w:ilvl w:val="0"/>
          <w:numId w:val="8"/>
        </w:numPr>
        <w:rPr/>
      </w:pPr>
      <w:r>
        <w:rPr/>
        <w:t xml:space="preserve">Check Valve:  </w:t>
        <w:tab/>
        <w:t xml:space="preserve">    CHK_ HPL Commonly Used Equipment Name </w:t>
      </w:r>
    </w:p>
    <w:p>
      <w:pPr>
        <w:pStyle w:val="Normal"/>
        <w:ind w:start="360" w:end="0"/>
        <w:rPr/>
      </w:pPr>
      <w:r>
        <w:rPr/>
        <w:t xml:space="preserve">Example:  The Bammel Compressor Station </w:t>
      </w:r>
    </w:p>
    <w:p>
      <w:pPr>
        <w:pStyle w:val="Normal"/>
        <w:ind w:firstLine="360" w:start="1080" w:end="0"/>
        <w:rPr>
          <w:b/>
        </w:rPr>
      </w:pPr>
      <w:r>
        <w:rPr>
          <w:b/>
        </w:rPr>
        <w:t>CS_Bammel</w:t>
      </w:r>
    </w:p>
    <w:p>
      <w:pPr>
        <w:pStyle w:val="Normal"/>
        <w:rPr>
          <w:b/>
        </w:rPr>
      </w:pPr>
      <w:r>
        <w:rPr>
          <w:b/>
        </w:rPr>
      </w:r>
    </w:p>
    <w:p>
      <w:pPr>
        <w:pStyle w:val="Normal"/>
        <w:numPr>
          <w:ilvl w:val="0"/>
          <w:numId w:val="2"/>
        </w:numPr>
        <w:rPr/>
      </w:pPr>
      <w:r>
        <w:rPr/>
        <w:t>Pipes:  Account Number_ Upstream node’s Station Plus designation (Mile Post)_ Zero Leg Name, the name of the nearest upstream leg where the mile post is re-zeroed_Line Number for looped lines, first line is 1, second line is 2,etc. (if no looping no field necessary).</w:t>
      </w:r>
    </w:p>
    <w:p>
      <w:pPr>
        <w:pStyle w:val="Normal"/>
        <w:ind w:start="360" w:end="0"/>
        <w:rPr/>
      </w:pPr>
      <w:r>
        <w:rPr/>
        <w:t xml:space="preserve">Example:  </w:t>
      </w:r>
      <w:r>
        <w:rPr>
          <w:b/>
        </w:rPr>
        <w:t>0123_11+114_CS_Bammel_2</w:t>
      </w:r>
      <w:r>
        <w:rPr/>
        <w:t xml:space="preserve">  (this would be the loop of the line)</w:t>
      </w:r>
    </w:p>
    <w:p>
      <w:pPr>
        <w:pStyle w:val="Normal"/>
        <w:rPr>
          <w:u w:val="single"/>
        </w:rPr>
      </w:pPr>
      <w:r>
        <w:rPr>
          <w:u w:val="single"/>
        </w:rPr>
      </w:r>
    </w:p>
    <w:p>
      <w:pPr>
        <w:pStyle w:val="Heading3"/>
        <w:ind w:hanging="0" w:start="0"/>
        <w:rPr/>
      </w:pPr>
      <w:r>
        <w:rPr/>
        <w:t>Leg Label, Leg Class and Leg Material Naming Convention</w:t>
      </w:r>
    </w:p>
    <w:p>
      <w:pPr>
        <w:pStyle w:val="Normal"/>
        <w:rPr/>
      </w:pPr>
      <w:r>
        <w:rPr/>
      </w:r>
    </w:p>
    <w:p>
      <w:pPr>
        <w:pStyle w:val="Normal"/>
        <w:numPr>
          <w:ilvl w:val="0"/>
          <w:numId w:val="4"/>
        </w:numPr>
        <w:rPr/>
      </w:pPr>
      <w:r>
        <w:rPr/>
        <w:t>Leg Label 1 – Lateral/Line Name</w:t>
      </w:r>
    </w:p>
    <w:p>
      <w:pPr>
        <w:pStyle w:val="Normal"/>
        <w:rPr/>
      </w:pPr>
      <w:r>
        <w:rPr/>
      </w:r>
    </w:p>
    <w:p>
      <w:pPr>
        <w:pStyle w:val="Normal"/>
        <w:numPr>
          <w:ilvl w:val="0"/>
          <w:numId w:val="6"/>
        </w:numPr>
        <w:rPr/>
      </w:pPr>
      <w:r>
        <w:rPr/>
        <w:t>Leg Label 2 – Rate Zone_Trade Zone_System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12"/>
        </w:numPr>
        <w:rPr>
          <w:b/>
        </w:rPr>
      </w:pPr>
      <w:r>
        <w:rPr/>
        <w:t>Leg Label 3 – Open, to be determined</w:t>
      </w:r>
    </w:p>
    <w:p>
      <w:pPr>
        <w:pStyle w:val="Normal"/>
        <w:rPr>
          <w:b/>
        </w:rPr>
      </w:pPr>
      <w:r>
        <w:rPr>
          <w:b/>
        </w:rPr>
      </w:r>
      <w:r>
        <w:br w:type="page"/>
      </w:r>
    </w:p>
    <w:p>
      <w:pPr>
        <w:pStyle w:val="Normal"/>
        <w:numPr>
          <w:ilvl w:val="0"/>
          <w:numId w:val="14"/>
        </w:numPr>
        <w:rPr>
          <w:b/>
        </w:rPr>
      </w:pPr>
      <w:r>
        <w:rPr/>
        <w:t>Leg Label 4 – Unique ID from GIS</w:t>
      </w:r>
    </w:p>
    <w:p>
      <w:pPr>
        <w:pStyle w:val="Normal"/>
        <w:ind w:start="360" w:end="0"/>
        <w:rPr/>
      </w:pPr>
      <w:r>
        <w:rPr/>
        <w:t xml:space="preserve">Example:  </w:t>
      </w:r>
      <w:r>
        <w:rPr>
          <w:b/>
        </w:rPr>
        <w:t>013</w:t>
      </w:r>
    </w:p>
    <w:p>
      <w:pPr>
        <w:pStyle w:val="Normal"/>
        <w:rPr>
          <w:b/>
        </w:rPr>
      </w:pPr>
      <w:r>
        <w:rPr>
          <w:b/>
        </w:rPr>
      </w:r>
    </w:p>
    <w:p>
      <w:pPr>
        <w:pStyle w:val="Normal"/>
        <w:numPr>
          <w:ilvl w:val="0"/>
          <w:numId w:val="10"/>
        </w:numPr>
        <w:rPr>
          <w:b/>
        </w:rPr>
      </w:pPr>
      <w:r>
        <w:rPr/>
        <w:t>Leg Class – Open, to be determined</w:t>
      </w:r>
    </w:p>
    <w:p>
      <w:pPr>
        <w:pStyle w:val="Normal"/>
        <w:rPr>
          <w:b/>
        </w:rPr>
      </w:pPr>
      <w:r>
        <w:rPr>
          <w:b/>
        </w:rPr>
      </w:r>
    </w:p>
    <w:p>
      <w:pPr>
        <w:pStyle w:val="Normal"/>
        <w:numPr>
          <w:ilvl w:val="0"/>
          <w:numId w:val="13"/>
        </w:numPr>
        <w:rPr>
          <w:b/>
        </w:rPr>
      </w:pPr>
      <w:r>
        <w:rPr/>
        <w:t>Leg Material – Open, to be determined</w:t>
      </w:r>
    </w:p>
    <w:p>
      <w:pPr>
        <w:pStyle w:val="Normal"/>
        <w:rPr>
          <w:b/>
        </w:rPr>
      </w:pPr>
      <w:r>
        <w:rPr>
          <w:b/>
        </w:rPr>
      </w:r>
    </w:p>
    <w:p>
      <w:pPr>
        <w:pStyle w:val="Normal"/>
        <w:rPr/>
      </w:pPr>
      <w:r>
        <w:rPr/>
      </w:r>
    </w:p>
    <w:p>
      <w:pPr>
        <w:pStyle w:val="BodyText"/>
        <w:rPr/>
      </w:pPr>
      <w:r>
        <w:rPr>
          <w:i/>
        </w:rPr>
        <w:t xml:space="preserve">Phase II Deliverable to </w:t>
      </w:r>
      <w:del w:id="224" w:author="gnemec" w:date="1999-05-14T10:35:00Z">
        <w:r>
          <w:rPr>
            <w:i/>
          </w:rPr>
          <w:delText>Enron</w:delText>
        </w:r>
      </w:del>
      <w:ins w:id="225" w:author="gnemec" w:date="1999-05-14T10:35:00Z">
        <w:r>
          <w:rPr>
            <w:i/>
          </w:rPr>
          <w:t>HPL</w:t>
        </w:r>
      </w:ins>
      <w:r>
        <w:rPr>
          <w:i/>
        </w:rPr>
        <w:t xml:space="preserve"> will be a model created from the Arc Info information and verified with the Alignment Sheets, Gate Layouts and Valve Location Maps.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III</w:t>
      </w:r>
    </w:p>
    <w:p>
      <w:pPr>
        <w:pStyle w:val="Normal"/>
        <w:rPr>
          <w:sz w:val="24"/>
          <w:u w:val="single"/>
        </w:rPr>
      </w:pPr>
      <w:r>
        <w:rPr>
          <w:sz w:val="24"/>
          <w:u w:val="single"/>
        </w:rPr>
      </w:r>
    </w:p>
    <w:p>
      <w:pPr>
        <w:pStyle w:val="Normal"/>
        <w:numPr>
          <w:ilvl w:val="0"/>
          <w:numId w:val="19"/>
        </w:numPr>
        <w:rPr/>
      </w:pPr>
      <w:r>
        <w:rPr/>
        <w:t xml:space="preserve">Obtain files from </w:t>
      </w:r>
      <w:del w:id="226" w:author="gnemec" w:date="1999-05-14T10:35:00Z">
        <w:r>
          <w:rPr/>
          <w:delText>Enron</w:delText>
        </w:r>
      </w:del>
      <w:ins w:id="227" w:author="gnemec" w:date="1999-05-14T10:35:00Z">
        <w:r>
          <w:rPr/>
          <w:t>HPL</w:t>
        </w:r>
      </w:ins>
      <w:r>
        <w:rPr/>
        <w:t xml:space="preserve"> that have the meter number with the associated Rate Zone, Trade Zone and System Number for that meter.</w:t>
      </w:r>
    </w:p>
    <w:p>
      <w:pPr>
        <w:pStyle w:val="Normal"/>
        <w:rPr/>
      </w:pPr>
      <w:r>
        <w:rPr/>
      </w:r>
    </w:p>
    <w:p>
      <w:pPr>
        <w:pStyle w:val="Normal"/>
        <w:rPr/>
      </w:pPr>
      <w:r>
        <w:rPr/>
        <w:t>Gregg Engineering will update the label fields for the nodes and legs utilizing the DataMgr and functionality within the WinFlow program corresponding to the naming convention outlined in Phase II.</w:t>
      </w:r>
    </w:p>
    <w:p>
      <w:pPr>
        <w:pStyle w:val="Normal"/>
        <w:rPr/>
      </w:pPr>
      <w:r>
        <w:rPr/>
      </w:r>
    </w:p>
    <w:p>
      <w:pPr>
        <w:pStyle w:val="Normal"/>
        <w:rPr/>
      </w:pPr>
      <w:r>
        <w:rPr/>
      </w:r>
    </w:p>
    <w:p>
      <w:pPr>
        <w:pStyle w:val="BodyText"/>
        <w:rPr/>
      </w:pPr>
      <w:r>
        <w:rPr>
          <w:i/>
        </w:rPr>
        <w:t xml:space="preserve">Phase III Deliverable to </w:t>
      </w:r>
      <w:del w:id="228" w:author="gnemec" w:date="1999-05-14T10:35:00Z">
        <w:r>
          <w:rPr>
            <w:i/>
          </w:rPr>
          <w:delText>Enron</w:delText>
        </w:r>
      </w:del>
      <w:ins w:id="229" w:author="gnemec" w:date="1999-05-14T10:35:00Z">
        <w:r>
          <w:rPr>
            <w:i/>
          </w:rPr>
          <w:t>HPL</w:t>
        </w:r>
      </w:ins>
      <w:r>
        <w:rPr>
          <w:i/>
        </w:rPr>
        <w:t xml:space="preserve"> will be a model created from the Arc Info information and verified with the Alignment Sheets, Gate Layouts and Valve Location Maps and QC’d by Gregg Engineering as a final deliverable to </w:t>
      </w:r>
      <w:del w:id="230" w:author="gnemec" w:date="1999-05-14T10:35:00Z">
        <w:r>
          <w:rPr>
            <w:i/>
          </w:rPr>
          <w:delText>Enron.</w:delText>
        </w:r>
      </w:del>
      <w:ins w:id="231" w:author="gnemec" w:date="1999-05-14T10:35:00Z">
        <w:r>
          <w:rPr>
            <w:i/>
          </w:rPr>
          <w:t>HPL.</w:t>
        </w:r>
      </w:ins>
      <w:r>
        <w:rPr>
          <w:i/>
        </w:rPr>
        <w:t xml:space="preserve">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IV</w:t>
      </w:r>
    </w:p>
    <w:p>
      <w:pPr>
        <w:pStyle w:val="Header"/>
        <w:tabs>
          <w:tab w:val="clear" w:pos="4320"/>
          <w:tab w:val="clear" w:pos="8640"/>
        </w:tabs>
        <w:rPr>
          <w:sz w:val="24"/>
          <w:u w:val="single"/>
        </w:rPr>
      </w:pPr>
      <w:r>
        <w:rPr>
          <w:sz w:val="24"/>
          <w:u w:val="single"/>
        </w:rPr>
      </w:r>
    </w:p>
    <w:p>
      <w:pPr>
        <w:pStyle w:val="Header"/>
        <w:tabs>
          <w:tab w:val="clear" w:pos="4320"/>
          <w:tab w:val="clear" w:pos="8640"/>
        </w:tabs>
        <w:rPr/>
      </w:pPr>
      <w:r>
        <w:rPr/>
        <w:t xml:space="preserve">Gregg Engineering will provide </w:t>
      </w:r>
      <w:del w:id="232" w:author="gnemec" w:date="1999-05-14T10:35:00Z">
        <w:r>
          <w:rPr/>
          <w:delText>Enron,</w:delText>
        </w:r>
      </w:del>
      <w:ins w:id="233" w:author="gnemec" w:date="1999-05-14T10:35:00Z">
        <w:r>
          <w:rPr/>
          <w:t>HPL,</w:t>
        </w:r>
      </w:ins>
      <w:r>
        <w:rPr/>
        <w:t xml:space="preserve"> Excel files of the model for use in Access.  </w:t>
      </w:r>
      <w:del w:id="234" w:author="gnemec" w:date="1999-05-14T10:35:00Z">
        <w:r>
          <w:rPr/>
          <w:delText>Enron</w:delText>
        </w:r>
      </w:del>
      <w:ins w:id="235" w:author="gnemec" w:date="1999-05-14T10:35:00Z">
        <w:r>
          <w:rPr/>
          <w:t>HPL</w:t>
        </w:r>
      </w:ins>
      <w:r>
        <w:rPr/>
        <w:t xml:space="preserve"> will provide Gregg Engineering with the format of the data as soon as practical.</w:t>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BodyText2"/>
        <w:rPr/>
      </w:pPr>
      <w:r>
        <w:rPr/>
        <w:t xml:space="preserve">Phase IV Deliverable to </w:t>
      </w:r>
      <w:del w:id="236" w:author="gnemec" w:date="1999-05-14T10:35:00Z">
        <w:r>
          <w:rPr/>
          <w:delText>Enron</w:delText>
        </w:r>
      </w:del>
      <w:ins w:id="237" w:author="gnemec" w:date="1999-05-14T10:35:00Z">
        <w:r>
          <w:rPr/>
          <w:t>HPL</w:t>
        </w:r>
      </w:ins>
      <w:r>
        <w:rPr/>
        <w:t xml:space="preserve"> will be </w:t>
      </w:r>
      <w:del w:id="238" w:author="gnemec" w:date="1999-05-14T10:35:00Z">
        <w:r>
          <w:rPr/>
          <w:delText>Enron</w:delText>
        </w:r>
      </w:del>
      <w:ins w:id="239" w:author="gnemec" w:date="1999-05-14T10:35:00Z">
        <w:r>
          <w:rPr/>
          <w:t>HPL</w:t>
        </w:r>
      </w:ins>
      <w:r>
        <w:rPr/>
        <w:t xml:space="preserve"> specified format of Excel files that contain the Phase III model information.</w:t>
      </w:r>
    </w:p>
    <w:sectPr>
      <w:footerReference w:type="default" r:id="rId3"/>
      <w:footerReference w:type="first" r:id="rId4"/>
      <w:type w:val="nextPage"/>
      <w:pgSz w:w="12240" w:h="15840"/>
      <w:pgMar w:left="864" w:right="864" w:gutter="0" w:header="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9</w:t>
    </w:r>
    <w:r>
      <w:rPr>
        <w:sz w:val="24"/>
        <w:rFonts w:cs="Times New Roman" w:ascii="Times New Roman" w:hAnsi="Times New Roman"/>
      </w:rPr>
      <w:fldChar w:fldCharType="end"/>
    </w:r>
  </w:p>
  <w:p>
    <w:pPr>
      <w:pStyle w:val="Normal"/>
      <w:jc w:val="both"/>
      <w:rPr>
        <w:rFonts w:ascii="Times New Roman" w:hAnsi="Times New Roman" w:cs="Times New Roman"/>
        <w:sz w:val="14"/>
      </w:rPr>
    </w:pPr>
    <w:r>
      <w:rPr>
        <w:rFonts w:cs="Times New Roman" w:ascii="Times New Roman" w:hAnsi="Times New Roman"/>
        <w:sz w:val="14"/>
      </w:rPr>
      <w:t>Gregg Engineering, Inc.</w:t>
    </w:r>
  </w:p>
  <w:p>
    <w:pPr>
      <w:pStyle w:val="Normal"/>
      <w:jc w:val="both"/>
      <w:rPr>
        <w:rFonts w:ascii="Times New Roman" w:hAnsi="Times New Roman" w:cs="Times New Roman"/>
        <w:sz w:val="14"/>
      </w:rPr>
    </w:pPr>
    <w:r>
      <w:rPr>
        <w:rFonts w:cs="Times New Roman" w:ascii="Times New Roman" w:hAnsi="Times New Roman"/>
        <w:sz w:val="14"/>
      </w:rPr>
      <w:t>Enron Corp. (ETC)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Gregg &amp; Rey Engineering Consultants, Inc.</w:t>
    </w:r>
  </w:p>
  <w:p>
    <w:pPr>
      <w:pStyle w:val="Footer"/>
      <w:jc w:val="end"/>
      <w:rPr>
        <w:sz w:val="16"/>
      </w:rPr>
    </w:pPr>
    <w:r>
      <w:rPr>
        <w:sz w:val="16"/>
      </w:rPr>
      <w:t>ATTACHMENT “A”</w:t>
    </w:r>
  </w:p>
  <w:p>
    <w:pPr>
      <w:pStyle w:val="Footer"/>
      <w:jc w:val="end"/>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3"/>
      <w:numFmt w:val="decimal"/>
      <w:lvlText w:val="%1"/>
      <w:lvlJc w:val="start"/>
      <w:pPr>
        <w:tabs>
          <w:tab w:val="num" w:pos="720"/>
        </w:tabs>
        <w:ind w:start="720" w:hanging="720"/>
      </w:pPr>
      <w:rPr/>
    </w:lvl>
    <w:lvl w:ilvl="1">
      <w:start w:val="3"/>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4"/>
      <w:numFmt w:val="decimal"/>
      <w:lvlText w:val="%1"/>
      <w:lvlJc w:val="start"/>
      <w:pPr>
        <w:tabs>
          <w:tab w:val="num" w:pos="720"/>
        </w:tabs>
        <w:ind w:start="720" w:hanging="720"/>
      </w:pPr>
      <w:rPr/>
    </w:lvl>
    <w:lvl w:ilvl="1">
      <w:start w:val="4"/>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u w:val="single"/>
    </w:rPr>
  </w:style>
  <w:style w:type="paragraph" w:styleId="Heading4">
    <w:name w:val="heading 4"/>
    <w:basedOn w:val="Normal"/>
    <w:next w:val="Normal"/>
    <w:qFormat/>
    <w:pPr>
      <w:keepNext w:val="true"/>
      <w:numPr>
        <w:ilvl w:val="3"/>
        <w:numId w:val="1"/>
      </w:numPr>
      <w:jc w:val="center"/>
      <w:outlineLvl w:val="3"/>
    </w:pPr>
    <w:rPr>
      <w:b/>
      <w:sz w:val="28"/>
      <w:u w:val="single"/>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pPr>
    <w:rPr>
      <w:rFonts w:ascii="Times New Roman" w:hAnsi="Times New Roman" w:cs="Times New Roman"/>
      <w:b/>
      <w:sz w:val="28"/>
      <w:u w:val="single"/>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DatesNotes">
    <w:name w:val="Dates/Notes"/>
    <w:basedOn w:val="Normal"/>
    <w:qFormat/>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Times New Roman" w:hAnsi="Times New Roman" w:cs="Times New Roman"/>
    </w:rPr>
  </w:style>
  <w:style w:type="paragraph" w:styleId="BodyText2">
    <w:name w:val="Body Text 2"/>
    <w:basedOn w:val="Normal"/>
    <w:qFormat/>
    <w:pPr/>
    <w:rPr>
      <w:rFonts w:ascii="Times New Roman" w:hAnsi="Times New Roman" w:cs="Times New Roman"/>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1999-05-14T13:05:00Z</dcterms:created>
  <dc:creator>Gregg &amp; Rey Engineering Consultants, Inc.</dc:creator>
  <dc:description/>
  <cp:keywords>Service Agreement</cp:keywords>
  <dc:language>en-CA</dc:language>
  <cp:lastModifiedBy>gnemec</cp:lastModifiedBy>
  <cp:lastPrinted>1999-05-14T10:19:00Z</cp:lastPrinted>
  <dcterms:modified xsi:type="dcterms:W3CDTF">1999-05-14T13:05:00Z</dcterms:modified>
  <cp:revision>2</cp:revision>
  <dc:subject/>
  <dc:title>AGREEMENT FOR SERVICES</dc:title>
</cp:coreProperties>
</file>