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0" w:after="0"/>
        <w:ind w:end="187"/>
        <w:jc w:val="center"/>
        <w:rPr>
          <w:b/>
          <w:sz w:val="28"/>
        </w:rPr>
      </w:pPr>
      <w:r>
        <w:rPr>
          <w:b/>
          <w:sz w:val="28"/>
        </w:rPr>
        <w:t>CAVERN MONITORING SERVICES AGREEMENT</w:t>
      </w:r>
    </w:p>
    <w:p>
      <w:pPr>
        <w:pStyle w:val="Normal"/>
        <w:spacing w:before="720" w:after="0"/>
        <w:ind w:end="187"/>
        <w:jc w:val="center"/>
        <w:rPr>
          <w:b/>
          <w:sz w:val="28"/>
        </w:rPr>
      </w:pPr>
      <w:r>
        <w:rPr>
          <w:b/>
          <w:sz w:val="28"/>
        </w:rPr>
        <w:t>between</w:t>
      </w:r>
    </w:p>
    <w:p>
      <w:pPr>
        <w:pStyle w:val="Normal"/>
        <w:spacing w:before="720" w:after="0"/>
        <w:ind w:end="187"/>
        <w:jc w:val="center"/>
        <w:rPr>
          <w:b/>
          <w:sz w:val="28"/>
        </w:rPr>
      </w:pPr>
      <w:r>
        <w:rPr>
          <w:b/>
          <w:sz w:val="28"/>
        </w:rPr>
        <w:t>LOUISIANA RESOURCES COMPANY, INC.</w:t>
      </w:r>
    </w:p>
    <w:p>
      <w:pPr>
        <w:pStyle w:val="Normal"/>
        <w:spacing w:before="720" w:after="0"/>
        <w:ind w:end="187"/>
        <w:jc w:val="center"/>
        <w:rPr>
          <w:b/>
          <w:sz w:val="28"/>
        </w:rPr>
      </w:pPr>
      <w:r>
        <w:rPr>
          <w:b/>
          <w:sz w:val="28"/>
        </w:rPr>
        <w:t>and</w:t>
      </w:r>
    </w:p>
    <w:p>
      <w:pPr>
        <w:pStyle w:val="Normal"/>
        <w:spacing w:before="720" w:after="0"/>
        <w:ind w:end="187"/>
        <w:jc w:val="center"/>
        <w:rPr>
          <w:b/>
          <w:sz w:val="28"/>
        </w:rPr>
      </w:pPr>
      <w:r>
        <w:rPr>
          <w:b/>
          <w:sz w:val="28"/>
        </w:rPr>
        <w:t>TEXACO PIPELINES, L.L.C.</w:t>
      </w:r>
      <w:r>
        <w:br w:type="page"/>
      </w:r>
    </w:p>
    <w:p>
      <w:pPr>
        <w:pStyle w:val="Normal"/>
        <w:jc w:val="center"/>
        <w:rPr>
          <w:b/>
          <w:sz w:val="32"/>
        </w:rPr>
      </w:pPr>
      <w:r>
        <w:rPr>
          <w:b/>
          <w:sz w:val="32"/>
        </w:rPr>
        <w:t>TABLE OF CONTENTS</w:t>
      </w:r>
    </w:p>
    <w:p>
      <w:pPr>
        <w:pStyle w:val="Norma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rPr>
              <w:caps w:val="false"/>
              <w:smallCaps w:val="false"/>
            </w:rPr>
          </w:pPr>
          <w:r>
            <w:fldChar w:fldCharType="begin"/>
          </w:r>
          <w:r>
            <w:rPr>
              <w:smallCaps w:val="false"/>
              <w:caps w:val="false"/>
            </w:rPr>
            <w:instrText xml:space="preserve"> TOC \o "1-1" </w:instrText>
          </w:r>
          <w:r>
            <w:rPr>
              <w:smallCaps w:val="false"/>
              <w:caps w:val="false"/>
            </w:rPr>
            <w:fldChar w:fldCharType="separate"/>
          </w:r>
          <w:r>
            <w:rPr>
              <w:caps w:val="false"/>
              <w:smallCaps w:val="false"/>
            </w:rPr>
          </w:r>
        </w:p>
        <w:p>
          <w:pPr>
            <w:pStyle w:val="TOC1"/>
            <w:rPr/>
          </w:pPr>
          <w:r>
            <w:rPr/>
            <w:t>ARTICLE 1. SERVICES TO BE PROVIDED BY TEXACO</w:t>
            <w:tab/>
          </w:r>
          <w:r>
            <w:fldChar w:fldCharType="begin"/>
          </w:r>
          <w:r>
            <w:rPr>
              <w:smallCaps w:val="false"/>
              <w:caps w:val="false"/>
            </w:rPr>
            <w:instrText xml:space="preserve"> GOTOBUTTON _Toc383329129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2. MONTHLY FEE</w:t>
            <w:tab/>
          </w:r>
          <w:r>
            <w:fldChar w:fldCharType="begin"/>
          </w:r>
          <w:r>
            <w:rPr>
              <w:smallCaps w:val="false"/>
              <w:caps w:val="false"/>
            </w:rPr>
            <w:instrText xml:space="preserve"> GOTOBUTTON _Toc383329132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3. TERM</w:t>
            <w:tab/>
            <w:t>2</w:t>
          </w:r>
        </w:p>
        <w:p>
          <w:pPr>
            <w:pStyle w:val="TOC1"/>
            <w:rPr/>
          </w:pPr>
          <w:r>
            <w:rPr/>
            <w:t>ARTICLE 4. FORCE MAJEURE</w:t>
            <w:tab/>
          </w:r>
          <w:r>
            <w:fldChar w:fldCharType="begin"/>
          </w:r>
          <w:r>
            <w:rPr>
              <w:smallCaps w:val="false"/>
              <w:caps w:val="false"/>
            </w:rPr>
            <w:instrText xml:space="preserve"> GOTOBUTTON _Toc383329136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5. TITLE AND RISK OF LOSS</w:t>
          </w:r>
        </w:p>
        <w:p>
          <w:pPr>
            <w:pStyle w:val="TOC1"/>
            <w:rPr/>
          </w:pPr>
          <w:r>
            <w:rPr/>
            <w:t>ARTICLE 6. INDEMNITY; LIMITATION OF DAMAGES</w:t>
            <w:tab/>
          </w:r>
          <w:r>
            <w:fldChar w:fldCharType="begin"/>
          </w:r>
          <w:r>
            <w:rPr>
              <w:smallCaps w:val="false"/>
              <w:caps w:val="false"/>
            </w:rPr>
            <w:instrText xml:space="preserve"> GOTOBUTTON _Toc383329138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7. INSURANCE</w:t>
            <w:tab/>
          </w:r>
          <w:r>
            <w:fldChar w:fldCharType="begin"/>
          </w:r>
          <w:r>
            <w:rPr>
              <w:smallCaps w:val="false"/>
              <w:caps w:val="false"/>
            </w:rPr>
            <w:instrText xml:space="preserve"> GOTOBUTTON _Toc383329139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8. MISCELLANEOUS</w:t>
            <w:tab/>
          </w:r>
          <w:r>
            <w:fldChar w:fldCharType="begin"/>
          </w:r>
          <w:r>
            <w:rPr>
              <w:smallCaps w:val="false"/>
              <w:caps w:val="false"/>
            </w:rPr>
            <w:instrText xml:space="preserve"> GOTOBUTTON _Toc383329140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pStyle w:val="Normal"/>
        <w:tabs>
          <w:tab w:val="clear" w:pos="720"/>
          <w:tab w:val="left" w:pos="1440" w:leader="none"/>
          <w:tab w:val="left" w:pos="7920" w:leader="none"/>
        </w:tabs>
        <w:rPr>
          <w:b/>
          <w:caps/>
        </w:rPr>
      </w:pPr>
      <w:r>
        <w:rPr>
          <w:b/>
          <w:caps/>
        </w:rPr>
      </w:r>
    </w:p>
    <w:p>
      <w:pPr>
        <w:pStyle w:val="Normal"/>
        <w:spacing w:before="120" w:after="0"/>
        <w:jc w:val="center"/>
        <w:rPr>
          <w:b/>
          <w:sz w:val="24"/>
          <w:u w:val="single"/>
        </w:rPr>
      </w:pPr>
      <w:r>
        <w:rPr>
          <w:b/>
          <w:sz w:val="24"/>
          <w:u w:val="single"/>
        </w:rPr>
        <w:t>CAVERN MONITORING SERVICES AGREEMENT</w:t>
      </w:r>
    </w:p>
    <w:p>
      <w:pPr>
        <w:pStyle w:val="Normal"/>
        <w:spacing w:before="360" w:after="0"/>
        <w:ind w:firstLine="720" w:end="0"/>
        <w:jc w:val="both"/>
        <w:rPr/>
      </w:pPr>
      <w:r>
        <w:rPr>
          <w:sz w:val="22"/>
        </w:rPr>
        <w:t>This CAVERN MONITORING SERVICES AGREEMENT (this "</w:t>
      </w:r>
      <w:r>
        <w:rPr>
          <w:sz w:val="22"/>
          <w:u w:val="single"/>
        </w:rPr>
        <w:t>Agreement</w:t>
      </w:r>
      <w:r>
        <w:rPr>
          <w:sz w:val="22"/>
        </w:rPr>
        <w:t>") is entered into and effective on this the 1st day of August, 2000 (the "</w:t>
      </w:r>
      <w:r>
        <w:rPr>
          <w:sz w:val="22"/>
          <w:u w:val="single"/>
        </w:rPr>
        <w:t>Effective Date</w:t>
      </w:r>
      <w:r>
        <w:rPr>
          <w:sz w:val="22"/>
        </w:rPr>
        <w:t xml:space="preserve">"), by and between </w:t>
      </w:r>
      <w:r>
        <w:rPr>
          <w:sz w:val="22"/>
          <w:highlight w:val="yellow"/>
        </w:rPr>
        <w:t>TEXACO PIPELINES, L.L.C</w:t>
      </w:r>
      <w:r>
        <w:rPr>
          <w:sz w:val="22"/>
        </w:rPr>
        <w:t xml:space="preserve">., a </w:t>
      </w:r>
      <w:r>
        <w:rPr>
          <w:sz w:val="22"/>
          <w:highlight w:val="yellow"/>
        </w:rPr>
        <w:t>_____________</w:t>
      </w:r>
      <w:r>
        <w:rPr>
          <w:sz w:val="22"/>
        </w:rPr>
        <w:t xml:space="preserve"> limited liability corporation, hereinafter referred to as "</w:t>
      </w:r>
      <w:r>
        <w:rPr>
          <w:sz w:val="22"/>
          <w:u w:val="single"/>
        </w:rPr>
        <w:t>TEXACO</w:t>
      </w:r>
      <w:r>
        <w:rPr>
          <w:sz w:val="22"/>
        </w:rPr>
        <w:t xml:space="preserve">", and </w:t>
      </w:r>
      <w:r>
        <w:rPr>
          <w:sz w:val="22"/>
          <w:highlight w:val="yellow"/>
        </w:rPr>
        <w:t>LOUISIANA RESOURCES COMPANY, INC.</w:t>
      </w:r>
      <w:r>
        <w:rPr>
          <w:sz w:val="22"/>
        </w:rPr>
        <w:t xml:space="preserve">, a </w:t>
      </w:r>
      <w:r>
        <w:rPr>
          <w:sz w:val="22"/>
          <w:highlight w:val="yellow"/>
        </w:rPr>
        <w:t>_______________</w:t>
      </w:r>
      <w:r>
        <w:rPr>
          <w:sz w:val="22"/>
        </w:rPr>
        <w:t xml:space="preserve"> corporation, hereinafter referred to as "</w:t>
      </w:r>
      <w:r>
        <w:rPr>
          <w:sz w:val="22"/>
          <w:u w:val="single"/>
        </w:rPr>
        <w:t>LRCI</w:t>
      </w:r>
      <w:r>
        <w:rPr>
          <w:sz w:val="22"/>
        </w:rPr>
        <w:t>".  TEXACO and LRCI may be referred to herein individually as a "</w:t>
      </w:r>
      <w:r>
        <w:rPr>
          <w:sz w:val="22"/>
          <w:u w:val="single"/>
        </w:rPr>
        <w:t>Party</w:t>
      </w:r>
      <w:r>
        <w:rPr>
          <w:sz w:val="22"/>
        </w:rPr>
        <w:t>" or collectively as the "</w:t>
      </w:r>
      <w:r>
        <w:rPr>
          <w:sz w:val="22"/>
          <w:u w:val="single"/>
        </w:rPr>
        <w:t>Parties</w:t>
      </w:r>
      <w:r>
        <w:rPr>
          <w:sz w:val="22"/>
        </w:rPr>
        <w:t>".</w:t>
      </w:r>
    </w:p>
    <w:p>
      <w:pPr>
        <w:pStyle w:val="Normal"/>
        <w:spacing w:before="240" w:after="0"/>
        <w:jc w:val="center"/>
        <w:rPr>
          <w:b/>
          <w:sz w:val="22"/>
        </w:rPr>
      </w:pPr>
      <w:r>
        <w:rPr>
          <w:b/>
          <w:spacing w:val="80"/>
          <w:sz w:val="22"/>
        </w:rPr>
        <w:t>WITNESSETH:</w:t>
      </w:r>
    </w:p>
    <w:p>
      <w:pPr>
        <w:pStyle w:val="Normal"/>
        <w:spacing w:before="120" w:after="0"/>
        <w:ind w:firstLine="720" w:end="0"/>
        <w:jc w:val="both"/>
        <w:rPr/>
      </w:pPr>
      <w:r>
        <w:rPr>
          <w:b/>
          <w:sz w:val="22"/>
        </w:rPr>
        <w:t>THAT WHEREAS</w:t>
      </w:r>
      <w:r>
        <w:rPr>
          <w:sz w:val="22"/>
        </w:rPr>
        <w:t>, LRCI owns and/or operates certain natural gas, storage and appurtenant facilities (near Napoleanville) located in Assumption Parish, Louisiana which is commonly known as Enron Well #1 (the "</w:t>
      </w:r>
      <w:r>
        <w:rPr>
          <w:sz w:val="22"/>
          <w:u w:val="single"/>
        </w:rPr>
        <w:t>New Storage Cavern</w:t>
      </w:r>
      <w:r>
        <w:rPr>
          <w:sz w:val="22"/>
        </w:rPr>
        <w:t>"); and</w:t>
      </w:r>
    </w:p>
    <w:p>
      <w:pPr>
        <w:pStyle w:val="Normal"/>
        <w:spacing w:before="120" w:after="0"/>
        <w:ind w:firstLine="720" w:end="0"/>
        <w:jc w:val="both"/>
        <w:rPr/>
      </w:pPr>
      <w:r>
        <w:rPr>
          <w:b/>
          <w:sz w:val="22"/>
        </w:rPr>
        <w:t>WHEREAS</w:t>
      </w:r>
      <w:r>
        <w:rPr>
          <w:sz w:val="22"/>
        </w:rPr>
        <w:t>, TEXACO is in the business of operating, maintaining and monitoring natural gas storage facilities; and</w:t>
      </w:r>
    </w:p>
    <w:p>
      <w:pPr>
        <w:pStyle w:val="Normal"/>
        <w:spacing w:before="120" w:after="0"/>
        <w:ind w:firstLine="720" w:end="0"/>
        <w:jc w:val="both"/>
        <w:rPr/>
      </w:pPr>
      <w:r>
        <w:rPr>
          <w:b/>
          <w:sz w:val="22"/>
        </w:rPr>
        <w:t>WHEREAS</w:t>
      </w:r>
      <w:r>
        <w:rPr>
          <w:sz w:val="22"/>
        </w:rPr>
        <w:t xml:space="preserve">, LRCI has requested TEXACO to operate, maintain, facilitate and monitor the leaching of the New Storage Cavern, and TEXACO agrees to so operate, maintain, facilitate and monitor the natural gas storage facilities.  </w:t>
      </w:r>
    </w:p>
    <w:p>
      <w:pPr>
        <w:pStyle w:val="Normal"/>
        <w:spacing w:before="120" w:after="0"/>
        <w:ind w:firstLine="720" w:end="0"/>
        <w:jc w:val="both"/>
        <w:rPr/>
      </w:pPr>
      <w:r>
        <w:rPr>
          <w:b/>
          <w:sz w:val="22"/>
        </w:rPr>
        <w:t>NOW, THEREFORE</w:t>
      </w:r>
      <w:r>
        <w:rPr>
          <w:sz w:val="22"/>
        </w:rPr>
        <w:t>, in consideration of the Monthly Fee, defined below, paid by LRCI to TEXACO and other good and valuable considerations, the receipt and sufficiency of which are hereby acknowledged, the Parties hereto have agreed as follows:</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SERVICES TO BE PROVIDED BY TEXACO</w:t>
      </w:r>
    </w:p>
    <w:p>
      <w:pPr>
        <w:pStyle w:val="Normal"/>
        <w:spacing w:before="240" w:after="0"/>
        <w:ind w:firstLine="720" w:end="0"/>
        <w:jc w:val="both"/>
        <w:rPr>
          <w:sz w:val="22"/>
          <w:u w:val="single"/>
        </w:rPr>
      </w:pPr>
      <w:r>
        <w:rPr>
          <w:sz w:val="22"/>
          <w:u w:val="single"/>
        </w:rPr>
        <w:t>Inspection, Operation and Maintenance.</w:t>
      </w:r>
      <w:r>
        <w:rPr>
          <w:sz w:val="22"/>
        </w:rPr>
        <w:t xml:space="preserve">  LRCI enters into this Agreement based on TEXACO’s demonstrated ability to perform the services described below (the “</w:t>
      </w:r>
      <w:r>
        <w:rPr>
          <w:sz w:val="22"/>
          <w:u w:val="single"/>
        </w:rPr>
        <w:t>Services</w:t>
      </w:r>
      <w:r>
        <w:rPr>
          <w:sz w:val="22"/>
        </w:rPr>
        <w:t>”).  TEXACO shall perform all routine inspection, operation and maintenance of the New Storage Cavern in accordance with sound and prudent natural gas industry practice taking into consideration the design parameters for the New Storage Cavern.  TEXACO shall perform the routine inspection, operation and maintenance of the New Storage Cavern including without limitation the Services as described below:</w:t>
      </w:r>
    </w:p>
    <w:p>
      <w:pPr>
        <w:pStyle w:val="Normal"/>
        <w:spacing w:before="120" w:after="0"/>
        <w:jc w:val="both"/>
        <w:rPr>
          <w:sz w:val="22"/>
          <w:u w:val="single"/>
        </w:rPr>
      </w:pPr>
      <w:r>
        <w:rPr>
          <w:sz w:val="22"/>
          <w:u w:val="single"/>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Complete a visual and physical inspection of the pump, wellhead, and associated equipment at least twice a day, or more if frequent inspections are deemed appropriate due to operational conditions.</w:t>
      </w:r>
    </w:p>
    <w:p>
      <w:pPr>
        <w:pStyle w:val="Normal"/>
        <w:tabs>
          <w:tab w:val="clear" w:pos="720"/>
          <w:tab w:val="left" w:pos="1080" w:leader="none"/>
        </w:tabs>
        <w:autoSpaceDE w:val="false"/>
        <w:spacing w:lineRule="atLeast" w:line="240"/>
        <w:ind w:start="720" w:end="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Oil and lubricate the pump pad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Backwash the well twice a week</w:t>
      </w:r>
    </w:p>
    <w:p>
      <w:pPr>
        <w:pStyle w:val="Normal"/>
        <w:tabs>
          <w:tab w:val="clear" w:pos="720"/>
          <w:tab w:val="left" w:pos="1080" w:leader="none"/>
        </w:tabs>
        <w:autoSpaceDE w:val="false"/>
        <w:spacing w:lineRule="atLeast" w:line="240"/>
        <w:ind w:start="720" w:end="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 xml:space="preserve">Communicate/coordinate with the </w:t>
      </w:r>
      <w:r>
        <w:rPr>
          <w:color w:val="000000"/>
          <w:sz w:val="22"/>
          <w:highlight w:val="yellow"/>
        </w:rPr>
        <w:t xml:space="preserve">DOW Chemical Company </w:t>
      </w:r>
      <w:r>
        <w:rPr>
          <w:b/>
          <w:bCs/>
          <w:i/>
          <w:iCs/>
          <w:color w:val="000000"/>
          <w:sz w:val="22"/>
          <w:highlight w:val="yellow"/>
        </w:rPr>
        <w:t>[NOTE:Is this the Proper Legal Name?</w:t>
      </w:r>
      <w:r>
        <w:rPr>
          <w:b/>
          <w:bCs/>
          <w:i/>
          <w:iCs/>
          <w:color w:val="000000"/>
          <w:sz w:val="22"/>
        </w:rPr>
        <w:t>]</w:t>
      </w:r>
      <w:r>
        <w:rPr>
          <w:color w:val="000000"/>
          <w:sz w:val="22"/>
        </w:rPr>
        <w:t xml:space="preserve"> on the fresh water supply and brine delivery</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Complete routine maintenance and troubleshooting on well and associated equipment (e.g. turbine meters, valve actuators, etc.</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Monitor sump area to avoid overflow</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Write 3rd party work permits for any contract work being done on the pump and well area.</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Start and stop fresh water booster pump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Block in well in preparation for well logging</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Obtain monthly electrical meter readings for LRCI to verify direct billing from Coastal Corp. to LRCI.</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color w:val="000000"/>
          <w:sz w:val="22"/>
        </w:rPr>
        <w:t xml:space="preserve">Maintain files on well data and other required documentation in accordance </w:t>
      </w:r>
      <w:r>
        <w:rPr>
          <w:sz w:val="22"/>
        </w:rPr>
        <w:t>with sound and prudent operator of a storage brining operation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Forward LRCI invoices to LRCI in Houston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 xml:space="preserve">And all services necessary and incidental to the performance of the Services described above.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br/>
        <w:t>TERM</w:t>
      </w:r>
    </w:p>
    <w:p>
      <w:pPr>
        <w:pStyle w:val="Heading2"/>
        <w:spacing w:before="120" w:after="0"/>
        <w:rPr/>
      </w:pPr>
      <w:r>
        <w:rPr>
          <w:sz w:val="22"/>
        </w:rPr>
        <w:t xml:space="preserve">This Agreement shall become effective and operative as of the Effective Date beginning August 1, 2000 and shall continue in full force and effect until the date that LRCI makes an assignment of the New Storage Cavern to </w:t>
      </w:r>
      <w:r>
        <w:rPr>
          <w:sz w:val="22"/>
          <w:highlight w:val="yellow"/>
        </w:rPr>
        <w:t>Bridgeline Holdings, L.L.C.</w:t>
      </w:r>
      <w:r>
        <w:rPr>
          <w:sz w:val="22"/>
        </w:rPr>
        <w:t xml:space="preserve">  Notwithstanding the above, LRCI shall have the right to terminate this Agreement at any time with ten (10) days notice to TEXACO.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br/>
        <w:t>Monthly FEE</w:t>
      </w:r>
    </w:p>
    <w:p>
      <w:pPr>
        <w:pStyle w:val="Heading2"/>
        <w:spacing w:before="120" w:after="0"/>
        <w:rPr/>
      </w:pPr>
      <w:r>
        <w:rPr>
          <w:sz w:val="22"/>
        </w:rPr>
        <w:t>The Monthly Fee (for Texaco rendering the Services described in Article 1 of this Agreement) for the Term shall be $1800.00 per month (the “</w:t>
      </w:r>
      <w:r>
        <w:rPr>
          <w:sz w:val="22"/>
          <w:u w:val="single"/>
        </w:rPr>
        <w:t>Monthly Fee</w:t>
      </w:r>
      <w:r>
        <w:rPr>
          <w:sz w:val="22"/>
        </w:rPr>
        <w:t>”).  The Monthly Fee also includes all taxes, consumables, and any materials required by TEXACO for the routine inspection, operation and maintenance of the New Storage Cavern.  The Monthly Fee is based upon Texaco providing LRCI a minimum of 2 hours of Service per Day per Month.  LRCI shall mail or deliver to TEXACO the Monthly Fee on or before the</w:t>
      </w:r>
      <w:r>
        <w:rPr>
          <w:sz w:val="22"/>
          <w:highlight w:val="yellow"/>
        </w:rPr>
        <w:t>__</w:t>
      </w:r>
      <w:r>
        <w:rPr>
          <w:sz w:val="22"/>
        </w:rPr>
        <w:t xml:space="preserve"> of every month during the term of this Agreement.  Such payment shall be sent to TEXACO via U.S. mail, payable to TEXACO, and mailed to the address listed in paragraph 11 hereof.</w:t>
      </w:r>
    </w:p>
    <w:p>
      <w:pPr>
        <w:pStyle w:val="Heading2"/>
        <w:spacing w:before="120" w:after="0"/>
        <w:rPr/>
      </w:pPr>
      <w:r>
        <w:rPr>
          <w:sz w:val="22"/>
        </w:rPr>
        <w:t>For any activities, special projects, or other service requests that extend beyond the 60 hours a month covered under the Monthly Fee (the “</w:t>
      </w:r>
      <w:r>
        <w:rPr>
          <w:sz w:val="22"/>
          <w:u w:val="single"/>
        </w:rPr>
        <w:t>Incremental Services</w:t>
      </w:r>
      <w:r>
        <w:rPr>
          <w:sz w:val="22"/>
        </w:rPr>
        <w:t xml:space="preserve">”), TEXACO will invoice LRCI for such services at $30/hour.  For contract services or materials purchased by TEXACO on behalf of LRCI, TEXACO will invoice LRCI at cost plus 15%.  TEXACO shall invoice LRCI on a monthly basis for any maintenance services performed by TEXACO for special projects (any projects not contemplated by this agreement) or services that extended beyond the 2 hours/day for the previous month or contract services or materials purchase by TEXACO on behalf of LRCI.  LRCI shall pay such invoice within 15 days of its receipt thereof.  </w:t>
      </w:r>
    </w:p>
    <w:p>
      <w:pPr>
        <w:pStyle w:val="Heading2"/>
        <w:spacing w:before="120" w:after="0"/>
        <w:rPr/>
      </w:pPr>
      <w:r>
        <w:rPr/>
        <w:t xml:space="preserve">Notwithstanding the foregoing, TEXACO shall notify LRCI prior to performing any special projects or any services in excess of the 60 hours of service a month for LRCI’s prior written approval.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br/>
        <w:t>FORCE MAJEURE</w:t>
      </w:r>
    </w:p>
    <w:p>
      <w:pPr>
        <w:pStyle w:val="Heading2"/>
        <w:spacing w:before="120" w:after="0"/>
        <w:rPr/>
      </w:pPr>
      <w:r>
        <w:rPr>
          <w:sz w:val="22"/>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b/>
          <w:sz w:val="22"/>
        </w:rPr>
        <w:t xml:space="preserve"> "</w:t>
      </w:r>
      <w:r>
        <w:rPr>
          <w:b/>
          <w:i/>
          <w:sz w:val="22"/>
        </w:rPr>
        <w:t>Force Majeure</w:t>
      </w:r>
      <w:r>
        <w:rPr>
          <w:sz w:val="22"/>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INDEMNITY; LIMITATION OF DAMAGES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sz w:val="22"/>
          <w:u w:val="single"/>
        </w:rPr>
        <w:t>LRCI Indemnification</w:t>
      </w:r>
      <w:r>
        <w:rPr>
          <w:sz w:val="22"/>
        </w:rPr>
        <w:t>.  LRCI shall defend, indemnify and hold harmless TEXACO,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the breach by LRCI of any of its obligations, representations, or warranties hereunder, or (ii) any action or inaction of LRCI or any employee, representative, agent, contractor or subcontractor of LRCI arising out of or in connection with this Agreement.  LRCI, at its own cost and expense, may contest any such claims that may be thought by LRCI to be unlawful or excessive.  TEXACO shall provide any assistance reasonably requested by LRCI in connection with any such contest; provided, however, that at its election and at its sole expense, TEXACO shall have the right to participate in the defense of any action against it.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r>
      <w:r>
        <w:rPr>
          <w:sz w:val="22"/>
          <w:u w:val="single"/>
        </w:rPr>
        <w:t>TEXACO Indemnification</w:t>
      </w:r>
      <w:r>
        <w:rPr>
          <w:sz w:val="22"/>
        </w:rPr>
        <w:t>.  TEXACO shall defend, indemnify and hold harmless LRCI,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performance of the Services by Texaco hereunder, (iii) the breach by TEXACO of any of its obligations, representations, or warranties hereunder, or (iv) any action or inaction of TEXACO or any employee, representative, agent, contractor or subcontractor of TEXACO arising out of or in connection with this Agreement.  TEXACO, at its own cost and expenses, may contest any such claim that may be thought by TEXACO to be unlawful or excessive.  LRCI shall provide any assistance reasonably requested by TEXACO in connection with any such contest.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sz w:val="22"/>
          <w:u w:val="single"/>
        </w:rPr>
        <w:t>Other Party's Negligence</w:t>
      </w:r>
      <w:r>
        <w:rPr>
          <w:sz w:val="22"/>
        </w:rPr>
        <w:t>.  The indemnities set forth above shall not apply if the claims, losses, damages, liabilities, judgments, demands, suits, expenses, fines, penalties, or assessments arise from or are caused by the sole negligence of the Party indemnified.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sz w:val="22"/>
          <w:u w:val="single"/>
        </w:rPr>
        <w:t>Notice of Claim</w:t>
      </w:r>
      <w:r>
        <w:rPr>
          <w:sz w:val="22"/>
        </w:rPr>
        <w:t>.  The rights of either Party to indemnification hereunder are contingent on the timely receipt by the indemnifying Party of written notice and supporting documentation of a claim for indemnification.</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br/>
        <w:t>insurance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sz w:val="22"/>
          <w:u w:val="single"/>
        </w:rPr>
        <w:t>Minimum Coverage</w:t>
      </w:r>
      <w:r>
        <w:rPr>
          <w:sz w:val="22"/>
        </w:rPr>
        <w:t>.  TEXACO shall maintain in full force and effect during the term of this Agreement reasonable insurance acceptable to LRCI, with minimum insurance coverage of the types and in the amounts set forth below:</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i/>
          <w:sz w:val="22"/>
        </w:rPr>
        <w:tab/>
        <w:t>Commercial General Liability Insurance</w:t>
      </w:r>
      <w:r>
        <w:rPr>
          <w:sz w:val="22"/>
        </w:rPr>
        <w:t xml:space="preserve"> with minimum limits of liability of not less than $1,000,000 per occurrence/aggregate combined single limit for bodily injury and property damage liability.  Such insurance shall include coverage for contractual liability, personal injury and broad form property damage, and shall provide coverage on an "occurrence" rather than a "claims made" basis.</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i/>
          <w:sz w:val="22"/>
        </w:rPr>
        <w:t>Worker's Compensation and Employer's Liability Insurance</w:t>
      </w:r>
      <w:r>
        <w:rPr>
          <w:sz w:val="22"/>
        </w:rPr>
        <w:t xml:space="preserve"> covering all employees or agents of TEXACO involved with the performance of TEXACO hereunder, with policy amounts and coverage in compliance with the laws of the jurisdiction in which the Property is located and Employer's Liability Insurance with a limit of not less than $1,000,000.</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i/>
          <w:sz w:val="22"/>
        </w:rPr>
        <w:t>Comprehensive Automobile Liability Insurance</w:t>
      </w:r>
      <w:r>
        <w:rPr>
          <w:sz w:val="22"/>
        </w:rPr>
        <w:t xml:space="preserve"> covering all owned, non-owned and hired automobiles brought by TEXACO onto the Property, with limits of liability of not less than $1,000,000 combined single limit bodily injury and property damage.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sz w:val="22"/>
          <w:u w:val="single"/>
        </w:rPr>
        <w:t>Policy Requirements</w:t>
      </w:r>
      <w:r>
        <w:rPr>
          <w:sz w:val="22"/>
        </w:rPr>
        <w:t>.  All policies evidencing the insurance coverages required hereunder shall:  (i) provide that such insurance shall not be modified by the insurance carrier to reduce coverage, canceled by the insurance carrier, or converted to a "claims made" format by the insurance carrier unless 30 days prior to notice has been given to LRCI; (ii) be issued by insurance companies satisfactory to LRCI, in its reasonable discretion, with an A.M. Best Rating of at least A; and (iii) be enforced to name LRCI as an additional insured.  TEXACO agrees to require its insurer to waive any rights of subrogation against LRCI (and the owner of the premises), as well as its (their respective) parent companies, subsidiaries, partnerships, trust participants, affiliates, officers, directors, agents and employees.  Not less than 15 days prior to the expiration date of any such insurance policies, TEXACO shall deliver to LRCI certificates of insurance, in substantially the same form as initially approved by LRCI, evidencing renewals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sz w:val="22"/>
          <w:u w:val="single"/>
        </w:rPr>
        <w:t>Evidence of Compliance</w:t>
      </w:r>
      <w:r>
        <w:rPr>
          <w:sz w:val="22"/>
        </w:rPr>
        <w:t>.  At any time during the term of this Agreement, LRCI may request in writing, and TEXACO shall thereupon within ten (10) days supply, evidence satisfactory to LRCI of compliance with the provisions of this section.  TEXACO's failure to supply such evidence with the 10-day period shall entitle LRCI, in its discretion, to terminate this Agreement effective as of the expiration of such 10-day period with or without notice.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tab/>
      </w:r>
      <w:r>
        <w:rPr>
          <w:sz w:val="22"/>
          <w:u w:val="single"/>
        </w:rPr>
        <w:t>Policy Alterations</w:t>
      </w:r>
      <w:r>
        <w:rPr>
          <w:sz w:val="22"/>
        </w:rPr>
        <w:t>.  TEXACO agrees to provide LRCI with ten (10) days prior written notice of any material alteration of any insurance policy maintained by TEXACO in order to satisfy the insurance requirements contained in this Agreement, including conversion from "occurrence" to "claims made."  Notwithstanding the foregoing, LRCI shall have the right to cancel this Agreement upon ten (10) days written notice to TEXACO if LRCI deems such material alterations to be unacceptable.</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br/>
        <w:t>MISCELLANEOUS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sz w:val="22"/>
          <w:u w:val="single"/>
        </w:rPr>
        <w:t>Notices</w:t>
      </w:r>
      <w:r>
        <w:rPr>
          <w:sz w:val="22"/>
        </w:rPr>
        <w:t>.  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Justified"/>
        <w:rPr>
          <w:sz w:val="22"/>
        </w:rPr>
      </w:pPr>
      <w:r>
        <w:rPr>
          <w:sz w:val="22"/>
        </w:rPr>
      </w:r>
    </w:p>
    <w:tbl>
      <w:tblPr>
        <w:tblW w:w="7758" w:type="dxa"/>
        <w:jc w:val="start"/>
        <w:tblInd w:w="720" w:type="dxa"/>
        <w:tblLayout w:type="fixed"/>
        <w:tblCellMar>
          <w:top w:w="0" w:type="dxa"/>
          <w:start w:w="108" w:type="dxa"/>
          <w:bottom w:w="0" w:type="dxa"/>
          <w:end w:w="108" w:type="dxa"/>
        </w:tblCellMar>
      </w:tblPr>
      <w:tblGrid>
        <w:gridCol w:w="3888"/>
        <w:gridCol w:w="3870"/>
      </w:tblGrid>
      <w:tr>
        <w:trPr/>
        <w:tc>
          <w:tcPr>
            <w:tcW w:w="3888" w:type="dxa"/>
            <w:tcBorders/>
          </w:tcPr>
          <w:p>
            <w:pPr>
              <w:pStyle w:val="Normal"/>
              <w:keepNext w:val="true"/>
              <w:spacing w:before="120" w:after="0"/>
              <w:rPr/>
            </w:pPr>
            <w:r>
              <w:rPr>
                <w:sz w:val="22"/>
                <w:u w:val="single"/>
              </w:rPr>
              <w:t>TEXACO</w:t>
            </w:r>
            <w:r>
              <w:rPr>
                <w:sz w:val="22"/>
              </w:rPr>
              <w:t>:</w:t>
            </w:r>
          </w:p>
        </w:tc>
        <w:tc>
          <w:tcPr>
            <w:tcW w:w="3870" w:type="dxa"/>
            <w:tcBorders/>
          </w:tcPr>
          <w:p>
            <w:pPr>
              <w:pStyle w:val="Normal"/>
              <w:spacing w:before="120" w:after="0"/>
              <w:rPr/>
            </w:pPr>
            <w:r>
              <w:rPr>
                <w:sz w:val="22"/>
                <w:u w:val="single"/>
              </w:rPr>
              <w:t>LRCI</w:t>
            </w:r>
            <w:r>
              <w:rPr>
                <w:sz w:val="22"/>
              </w:rPr>
              <w:t>:</w:t>
            </w:r>
          </w:p>
        </w:tc>
      </w:tr>
      <w:tr>
        <w:trPr/>
        <w:tc>
          <w:tcPr>
            <w:tcW w:w="3888" w:type="dxa"/>
            <w:tcBorders/>
          </w:tcPr>
          <w:p>
            <w:pPr>
              <w:pStyle w:val="Normal"/>
              <w:keepNext w:val="true"/>
              <w:spacing w:before="120" w:after="0"/>
              <w:rPr/>
            </w:pPr>
            <w:r>
              <w:rPr>
                <w:i/>
                <w:sz w:val="22"/>
              </w:rPr>
              <w:t>For Notices/Correspondence</w:t>
            </w:r>
            <w:r>
              <w:rPr>
                <w:sz w:val="22"/>
              </w:rPr>
              <w:t>:</w:t>
            </w:r>
          </w:p>
        </w:tc>
        <w:tc>
          <w:tcPr>
            <w:tcW w:w="3870" w:type="dxa"/>
            <w:tcBorders/>
          </w:tcPr>
          <w:p>
            <w:pPr>
              <w:pStyle w:val="Normal"/>
              <w:spacing w:before="120" w:after="0"/>
              <w:rPr/>
            </w:pPr>
            <w:r>
              <w:rPr>
                <w:i/>
                <w:sz w:val="22"/>
              </w:rPr>
              <w:t>For Notices/Statements/ Correspondence</w:t>
            </w:r>
            <w:r>
              <w:rPr>
                <w:sz w:val="22"/>
              </w:rPr>
              <w:t>:</w:t>
            </w:r>
          </w:p>
        </w:tc>
      </w:tr>
      <w:tr>
        <w:trPr>
          <w:trHeight w:val="540" w:hRule="atLeast"/>
        </w:trPr>
        <w:tc>
          <w:tcPr>
            <w:tcW w:w="3888" w:type="dxa"/>
            <w:tcBorders/>
          </w:tcPr>
          <w:p>
            <w:pPr>
              <w:pStyle w:val="Normal"/>
              <w:keepNext w:val="true"/>
              <w:rPr>
                <w:sz w:val="22"/>
              </w:rPr>
            </w:pPr>
            <w:r>
              <w:rPr>
                <w:sz w:val="22"/>
              </w:rPr>
              <w:t>Texaco Pipelines, L.L.C.</w:t>
            </w:r>
          </w:p>
        </w:tc>
        <w:tc>
          <w:tcPr>
            <w:tcW w:w="3870" w:type="dxa"/>
            <w:tcBorders/>
          </w:tcPr>
          <w:p>
            <w:pPr>
              <w:pStyle w:val="Normal"/>
              <w:rPr>
                <w:sz w:val="22"/>
              </w:rPr>
            </w:pPr>
            <w:r>
              <w:rPr>
                <w:sz w:val="22"/>
              </w:rPr>
              <w:t>Louisiana Resources Company, Inc.</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P. O. Box 1188</w:t>
            </w:r>
          </w:p>
          <w:p>
            <w:pPr>
              <w:pStyle w:val="Normal"/>
              <w:rPr>
                <w:sz w:val="22"/>
              </w:rPr>
            </w:pPr>
            <w:r>
              <w:rPr>
                <w:sz w:val="22"/>
              </w:rPr>
              <w:t>EB: 35</w:t>
            </w:r>
            <w:r>
              <w:rPr>
                <w:sz w:val="22"/>
                <w:highlight w:val="yellow"/>
              </w:rPr>
              <w:t>__</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Houston, Texas  77251-1188</w:t>
            </w:r>
          </w:p>
        </w:tc>
      </w:tr>
      <w:tr>
        <w:trPr/>
        <w:tc>
          <w:tcPr>
            <w:tcW w:w="3888" w:type="dxa"/>
            <w:tcBorders/>
          </w:tcPr>
          <w:p>
            <w:pPr>
              <w:pStyle w:val="Normal"/>
              <w:keepNext w:val="true"/>
              <w:rPr>
                <w:sz w:val="22"/>
              </w:rPr>
            </w:pPr>
            <w:r>
              <w:rPr>
                <w:sz w:val="22"/>
              </w:rPr>
              <w:t xml:space="preserve">Attention:  </w:t>
            </w:r>
          </w:p>
        </w:tc>
        <w:tc>
          <w:tcPr>
            <w:tcW w:w="3870" w:type="dxa"/>
            <w:tcBorders/>
          </w:tcPr>
          <w:p>
            <w:pPr>
              <w:pStyle w:val="Normal"/>
              <w:rPr>
                <w:sz w:val="22"/>
              </w:rPr>
            </w:pPr>
            <w:r>
              <w:rPr>
                <w:sz w:val="22"/>
              </w:rPr>
              <w:t>Attention: Gerald W. Lofton</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Facsimile:  (713) 646-8416</w:t>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keepNext w:val="true"/>
              <w:rPr/>
            </w:pPr>
            <w:r>
              <w:rPr>
                <w:i/>
                <w:sz w:val="22"/>
              </w:rPr>
              <w:t>For Payments</w:t>
            </w:r>
            <w:r>
              <w:rPr>
                <w:sz w:val="22"/>
              </w:rPr>
              <w:t>:</w:t>
            </w:r>
          </w:p>
        </w:tc>
        <w:tc>
          <w:tcPr>
            <w:tcW w:w="3870" w:type="dxa"/>
            <w:tcBorders/>
          </w:tcPr>
          <w:p>
            <w:pPr>
              <w:pStyle w:val="Normal"/>
              <w:keepNext w:val="true"/>
              <w:snapToGrid w:val="false"/>
              <w:rPr>
                <w:sz w:val="22"/>
              </w:rPr>
            </w:pPr>
            <w:r>
              <w:rPr>
                <w:sz w:val="22"/>
              </w:rPr>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snapToGrid w:val="false"/>
              <w:rPr>
                <w:sz w:val="22"/>
              </w:rPr>
            </w:pPr>
            <w:r>
              <w:rPr>
                <w:sz w:val="22"/>
              </w:rPr>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snapToGrid w:val="false"/>
              <w:rPr>
                <w:sz w:val="22"/>
              </w:rPr>
            </w:pPr>
            <w:r>
              <w:rPr>
                <w:sz w:val="22"/>
              </w:rPr>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bl>
    <w:p>
      <w:pPr>
        <w:pStyle w:val="Heading2"/>
        <w:spacing w:before="120" w:after="0"/>
        <w:rPr>
          <w:sz w:val="22"/>
        </w:rPr>
      </w:pPr>
      <w:r>
        <w:rPr>
          <w:sz w:val="22"/>
        </w:rPr>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sz w:val="22"/>
          <w:u w:val="single"/>
        </w:rPr>
        <w:t>Audit Rights</w:t>
      </w:r>
      <w:r>
        <w:rPr>
          <w:sz w:val="22"/>
        </w:rPr>
        <w:t>.  During the Term of this Agreement and for a period of two (2) years from the date of termination hereof, TEXACO or LRCI or any third party representative thereof shall have the right, upon reasonable notice and at reasonable times, to examine the books and records of the other to the extent reasonably necessary to verify the accuracy of any billing statement, payment demand, charge, payment or other computation made under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sz w:val="22"/>
          <w:u w:val="single"/>
        </w:rPr>
        <w:t>Applicable Law</w:t>
      </w:r>
      <w:r>
        <w:rPr>
          <w:sz w:val="22"/>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ACCORDING TO THE PROCEDURES HEREIN SET FORTH.</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sz w:val="22"/>
          <w:u w:val="single"/>
        </w:rPr>
        <w:t>Waiver or Consent/Authority</w:t>
      </w:r>
      <w:r>
        <w:rPr>
          <w:sz w:val="22"/>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sz w:val="22"/>
          <w:u w:val="single"/>
        </w:rPr>
        <w:t>Arbitration</w:t>
      </w:r>
      <w:r>
        <w:rPr>
          <w:sz w:val="22"/>
        </w:rPr>
        <w:t>.  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sz w:val="22"/>
          <w:u w:val="single"/>
        </w:rPr>
        <w:t>Third Party Beneficiaries</w:t>
      </w:r>
      <w:r>
        <w:rPr>
          <w:sz w:val="22"/>
        </w:rPr>
        <w:t>.  This Agreement is intended solely for the benefit of the Parties and their permitted assigns and shall not impart rights enforceable by any other person or entity.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sz w:val="22"/>
          <w:u w:val="single"/>
        </w:rPr>
        <w:t>Entirety of Agreement</w:t>
      </w:r>
      <w:r>
        <w:rPr>
          <w:sz w:val="22"/>
        </w:rPr>
        <w:t>.  This Agreement constitutes the entire understanding of the Parties in respect of the subject matter herein.  No promises, terms, conditions, or obligations exist other than those contained herein, and this Agreement shall supersede all previous communications, representations, agreements, proposals, specifications, either verbal or written, between the Parties.</w:t>
      </w:r>
    </w:p>
    <w:p>
      <w:pPr>
        <w:pStyle w:val="Heading2"/>
        <w:spacing w:before="120" w:after="0"/>
        <w:rPr>
          <w:sz w:val="22"/>
        </w:rPr>
      </w:pPr>
      <w:r>
        <w:rPr>
          <w:sz w:val="22"/>
        </w:rPr>
        <w:t>IN WITNESS WHEREOF, the parties hereto have caused this instrument to be executed in multiple originals effective and operative as of the date first hereinabove written.</w:t>
      </w:r>
    </w:p>
    <w:p>
      <w:pPr>
        <w:pStyle w:val="Heading2"/>
        <w:spacing w:before="120" w:after="0"/>
        <w:rPr>
          <w:sz w:val="22"/>
        </w:rPr>
      </w:pPr>
      <w:r>
        <w:rPr>
          <w:sz w:val="22"/>
        </w:rPr>
      </w:r>
    </w:p>
    <w:p>
      <w:pPr>
        <w:pStyle w:val="Heading2"/>
        <w:spacing w:before="120" w:after="0"/>
        <w:ind w:hanging="0" w:start="720" w:end="0"/>
        <w:rPr>
          <w:b/>
          <w:sz w:val="22"/>
        </w:rPr>
      </w:pPr>
      <w:r>
        <w:rPr>
          <w:b/>
          <w:sz w:val="22"/>
        </w:rPr>
        <w:t>LRCI:</w:t>
        <w:tab/>
        <w:tab/>
        <w:t xml:space="preserve">LOUISIANA RESOURCES COMPANY, INC. </w:t>
      </w:r>
    </w:p>
    <w:p>
      <w:pPr>
        <w:pStyle w:val="Heading2"/>
        <w:rPr>
          <w:b/>
          <w:sz w:val="22"/>
        </w:rPr>
      </w:pPr>
      <w:r>
        <w:rPr>
          <w:b/>
          <w:sz w:val="22"/>
        </w:rPr>
      </w:r>
    </w:p>
    <w:p>
      <w:pPr>
        <w:pStyle w:val="Justified"/>
        <w:rPr/>
      </w:pPr>
      <w:r>
        <w:rPr/>
        <w:tab/>
        <w:tab/>
        <w:tab/>
      </w:r>
      <w:r>
        <w:rPr>
          <w:sz w:val="22"/>
        </w:rPr>
        <w:t>____________________________________</w:t>
        <w:tab/>
      </w:r>
    </w:p>
    <w:p>
      <w:pPr>
        <w:pStyle w:val="Justified"/>
        <w:ind w:firstLine="720" w:start="720" w:end="0"/>
        <w:rPr/>
      </w:pPr>
      <w:r>
        <w:rPr>
          <w:sz w:val="22"/>
        </w:rPr>
        <w:tab/>
        <w:t>By: ________________________________</w:t>
      </w:r>
      <w:r>
        <w:rPr>
          <w:sz w:val="24"/>
        </w:rPr>
        <w:tab/>
      </w:r>
    </w:p>
    <w:p>
      <w:pPr>
        <w:pStyle w:val="Justified"/>
        <w:ind w:firstLine="720" w:start="1440" w:end="0"/>
        <w:rPr>
          <w:sz w:val="22"/>
        </w:rPr>
      </w:pPr>
      <w:r>
        <w:rPr>
          <w:sz w:val="22"/>
        </w:rPr>
        <w:t>Title:  Vice-President</w:t>
      </w:r>
    </w:p>
    <w:p>
      <w:pPr>
        <w:pStyle w:val="Heading2"/>
        <w:rPr>
          <w:sz w:val="22"/>
        </w:rPr>
      </w:pPr>
      <w:r>
        <w:rPr/>
        <w:tab/>
        <w:tab/>
        <w:tab/>
        <w:tab/>
        <w:tab/>
      </w:r>
    </w:p>
    <w:p>
      <w:pPr>
        <w:pStyle w:val="Heading2"/>
        <w:rPr>
          <w:b/>
          <w:sz w:val="22"/>
        </w:rPr>
      </w:pPr>
      <w:r>
        <w:rPr>
          <w:b/>
          <w:sz w:val="22"/>
        </w:rPr>
        <w:t>TEXACO:</w:t>
        <w:tab/>
        <w:t>TEXACO PIPELINE, L.L.C.</w:t>
      </w:r>
    </w:p>
    <w:p>
      <w:pPr>
        <w:pStyle w:val="Justified"/>
        <w:rPr/>
      </w:pPr>
      <w:r>
        <w:rPr/>
        <w:tab/>
        <w:tab/>
        <w:tab/>
        <w:tab/>
        <w:tab/>
        <w:tab/>
        <w:tab/>
      </w:r>
    </w:p>
    <w:p>
      <w:pPr>
        <w:pStyle w:val="Justified"/>
        <w:ind w:firstLine="720" w:start="1440" w:end="0"/>
        <w:rPr>
          <w:sz w:val="22"/>
        </w:rPr>
      </w:pPr>
      <w:r>
        <w:rPr>
          <w:sz w:val="22"/>
        </w:rPr>
        <w:t>____________________________________</w:t>
      </w:r>
    </w:p>
    <w:p>
      <w:pPr>
        <w:pStyle w:val="Justified"/>
        <w:rPr/>
      </w:pPr>
      <w:r>
        <w:rPr/>
        <w:tab/>
        <w:tab/>
        <w:tab/>
      </w:r>
      <w:r>
        <w:rPr>
          <w:sz w:val="22"/>
        </w:rPr>
        <w:t>By: _________________________________</w:t>
      </w:r>
    </w:p>
    <w:p>
      <w:pPr>
        <w:pStyle w:val="Heading2"/>
        <w:ind w:start="1440" w:end="0"/>
        <w:rPr>
          <w:sz w:val="22"/>
        </w:rPr>
      </w:pPr>
      <w:r>
        <w:rPr>
          <w:sz w:val="22"/>
        </w:rPr>
        <w:t>Title: ________________________________</w:t>
      </w:r>
    </w:p>
    <w:p>
      <w:pPr>
        <w:pStyle w:val="Heading2"/>
        <w:spacing w:before="0" w:after="120"/>
        <w:ind w:hanging="0" w:end="0"/>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aewhite\contracts\</w:t>
    </w:r>
    <w:r>
      <w:rPr>
        <w:sz w:val="16"/>
      </w:rPr>
      <w:fldChar w:fldCharType="begin"/>
    </w:r>
    <w:r>
      <w:rPr>
        <w:sz w:val="16"/>
      </w:rPr>
      <w:instrText xml:space="preserve"> FILENAME </w:instrText>
    </w:r>
    <w:r>
      <w:rPr>
        <w:sz w:val="16"/>
      </w:rPr>
      <w:fldChar w:fldCharType="separate"/>
    </w:r>
    <w:r>
      <w:rPr>
        <w:sz w:val="16"/>
      </w:rPr>
      <w:t>SERVICES_AGREEMENT__Texaco_-685d289b80dad3418719d8c39cd17c71a7e52d8abc71ffd9895119c008d02e6d.doc</w:t>
    </w:r>
    <w:r>
      <w:rPr>
        <w:sz w:val="16"/>
      </w:rPr>
      <w:fldChar w:fldCharType="end"/>
    </w:r>
  </w:p>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1"/>
      <w:pStyle w:val="Heading5"/>
      <w:numFmt w:val="decimal"/>
      <w:lvlText w:val=".%5"/>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1"/>
      <w:pStyle w:val="Heading8"/>
      <w:numFmt w:val="decimal"/>
      <w:lvlText w:val=".%8"/>
      <w:lvlJc w:val="start"/>
      <w:pPr>
        <w:tabs>
          <w:tab w:val="num" w:pos="0"/>
        </w:tabs>
        <w:ind w:start="0" w:hanging="0"/>
      </w:pPr>
    </w:lvl>
    <w:lvl w:ilvl="8">
      <w:start w:val="1"/>
      <w:pStyle w:val="Heading9"/>
      <w:numFmt w:val="decimal"/>
      <w:lvlText w:val=".%8.%9"/>
      <w:lvlJc w:val="start"/>
      <w:pPr>
        <w:tabs>
          <w:tab w:val="num" w:pos="0"/>
        </w:tabs>
        <w:ind w:start="0" w:hanging="0"/>
      </w:pPr>
    </w:lvl>
  </w:abstractNum>
  <w:abstractNum w:abstractNumId="2">
    <w:lvl w:ilvl="0">
      <w:start w:val="1"/>
      <w:numFmt w:val="lowerLetter"/>
      <w:lvlText w:val="(%1)"/>
      <w:lvlJc w:val="start"/>
      <w:pPr>
        <w:tabs>
          <w:tab w:val="num" w:pos="1800"/>
        </w:tabs>
        <w:ind w:start="1800" w:hanging="10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2"/>
    <w:qFormat/>
    <w:pPr>
      <w:keepNext w:val="true"/>
      <w:spacing w:before="240" w:after="240"/>
      <w:jc w:val="center"/>
      <w:outlineLvl w:val="0"/>
    </w:pPr>
    <w:rPr>
      <w:b/>
      <w:caps/>
    </w:rPr>
  </w:style>
  <w:style w:type="paragraph" w:styleId="Heading2">
    <w:name w:val="heading 2"/>
    <w:basedOn w:val="Normal"/>
    <w:next w:val="Justified"/>
    <w:qFormat/>
    <w:pPr>
      <w:spacing w:before="0" w:after="120"/>
      <w:ind w:firstLine="720" w:start="0" w:end="0"/>
      <w:jc w:val="both"/>
      <w:outlineLvl w:val="1"/>
    </w:pPr>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BodyText"/>
    <w:qFormat/>
    <w:pPr>
      <w:spacing w:before="0" w:after="120"/>
      <w:ind w:hanging="0" w:start="1440" w:end="720"/>
      <w:jc w:val="both"/>
      <w:outlineLvl w:val="5"/>
    </w:pPr>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Symbol" w:hAnsi="Symbol" w:cs="Symbol"/>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caps/>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2000-07-13T16:32:00Z</dcterms:created>
  <dc:creator>william nealy</dc:creator>
  <dc:description/>
  <dc:language>en-CA</dc:language>
  <cp:lastModifiedBy>egillas</cp:lastModifiedBy>
  <cp:lastPrinted>2000-07-18T11:36:00Z</cp:lastPrinted>
  <dcterms:modified xsi:type="dcterms:W3CDTF">2000-07-18T18:17:00Z</dcterms:modified>
  <cp:revision>51</cp:revision>
  <dc:subject/>
  <dc:title>DEHYDRATION SERVICES AGREEMENT</dc:title>
</cp:coreProperties>
</file>