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To: Gary Neale – NERC Chairman</w:t>
      </w:r>
    </w:p>
    <w:p>
      <w:pPr>
        <w:pStyle w:val="Normal"/>
        <w:rPr>
          <w:b/>
          <w:sz w:val="24"/>
        </w:rPr>
      </w:pPr>
      <w:r>
        <w:rPr>
          <w:b/>
          <w:sz w:val="24"/>
        </w:rPr>
        <w:t xml:space="preserve">       </w:t>
      </w:r>
      <w:r>
        <w:rPr>
          <w:b/>
          <w:sz w:val="24"/>
        </w:rPr>
        <w:t>Howard Hawks – NERC PITF Chairman</w:t>
      </w:r>
    </w:p>
    <w:p>
      <w:pPr>
        <w:pStyle w:val="Normal"/>
        <w:rPr>
          <w:b/>
          <w:sz w:val="24"/>
        </w:rPr>
      </w:pPr>
      <w:r>
        <w:rPr>
          <w:b/>
          <w:sz w:val="24"/>
        </w:rPr>
        <w:t xml:space="preserve">       </w:t>
      </w:r>
      <w:r>
        <w:rPr>
          <w:b/>
          <w:sz w:val="24"/>
        </w:rPr>
        <w:t>Mike Gent – NERC President</w:t>
      </w:r>
    </w:p>
    <w:p>
      <w:pPr>
        <w:pStyle w:val="Normal"/>
        <w:rPr>
          <w:b/>
          <w:sz w:val="24"/>
        </w:rPr>
      </w:pPr>
      <w:r>
        <w:rPr>
          <w:b/>
          <w:sz w:val="24"/>
        </w:rPr>
      </w:r>
    </w:p>
    <w:p>
      <w:pPr>
        <w:pStyle w:val="Normal"/>
        <w:rPr>
          <w:b/>
          <w:sz w:val="24"/>
        </w:rPr>
      </w:pPr>
      <w:r>
        <w:rPr>
          <w:b/>
          <w:sz w:val="24"/>
        </w:rPr>
        <w:t>FROM: Jim Maughn – SERC Administrative Manager</w:t>
      </w:r>
    </w:p>
    <w:p>
      <w:pPr>
        <w:pStyle w:val="Normal"/>
        <w:rPr>
          <w:b/>
          <w:sz w:val="24"/>
        </w:rPr>
      </w:pPr>
      <w:r>
        <w:rPr>
          <w:b/>
          <w:sz w:val="24"/>
        </w:rPr>
      </w:r>
    </w:p>
    <w:p>
      <w:pPr>
        <w:pStyle w:val="Normal"/>
        <w:rPr>
          <w:b/>
          <w:sz w:val="24"/>
        </w:rPr>
      </w:pPr>
      <w:r>
        <w:rPr>
          <w:b/>
          <w:sz w:val="24"/>
        </w:rPr>
        <w:t>DATE: September 28, 1999</w:t>
      </w:r>
    </w:p>
    <w:p>
      <w:pPr>
        <w:pStyle w:val="Normal"/>
        <w:rPr>
          <w:b/>
          <w:sz w:val="24"/>
        </w:rPr>
      </w:pPr>
      <w:r>
        <w:rPr>
          <w:b/>
          <w:sz w:val="24"/>
        </w:rPr>
      </w:r>
    </w:p>
    <w:p>
      <w:pPr>
        <w:pStyle w:val="Normal"/>
        <w:rPr>
          <w:b/>
          <w:sz w:val="24"/>
        </w:rPr>
      </w:pPr>
      <w:r>
        <w:rPr>
          <w:b/>
          <w:sz w:val="24"/>
        </w:rPr>
        <w:t>RE: ENRON/TVA Dispute</w:t>
      </w:r>
    </w:p>
    <w:p>
      <w:pPr>
        <w:pStyle w:val="Normal"/>
        <w:rPr>
          <w:b/>
          <w:sz w:val="24"/>
        </w:rPr>
      </w:pPr>
      <w:r>
        <w:rPr>
          <w:b/>
          <w:sz w:val="24"/>
        </w:rPr>
      </w:r>
    </w:p>
    <w:p>
      <w:pPr>
        <w:pStyle w:val="Normal"/>
        <w:rPr>
          <w:b/>
          <w:sz w:val="24"/>
        </w:rPr>
      </w:pPr>
      <w:r>
        <w:rPr>
          <w:b/>
          <w:sz w:val="24"/>
        </w:rPr>
        <w:t>As requested at the September 10, 1999 NERC Board of Trustees meeting, and as outlined in the letter of September 10, 1999 from the NERC Policy Interpretation Task Force, SERC Officers and staff have met with the two parties in dispute and together, reached a verbal agreement of resolution for the Control Area operational issues. SERC drafted an agreement which has been reviewed by both parties. Both parties have made revisions to the document and at this hour have not reached an agreement on wording.</w:t>
      </w:r>
    </w:p>
    <w:p>
      <w:pPr>
        <w:pStyle w:val="Normal"/>
        <w:rPr>
          <w:b/>
          <w:sz w:val="24"/>
        </w:rPr>
      </w:pPr>
      <w:r>
        <w:rPr>
          <w:b/>
          <w:sz w:val="24"/>
        </w:rPr>
      </w:r>
    </w:p>
    <w:p>
      <w:pPr>
        <w:pStyle w:val="Normal"/>
        <w:rPr>
          <w:b/>
          <w:sz w:val="24"/>
        </w:rPr>
      </w:pPr>
      <w:r>
        <w:rPr>
          <w:b/>
          <w:sz w:val="24"/>
        </w:rPr>
        <w:t>It is the opinion of SERC that both parties have an interest in settling this dispute within the procedures and framework of the Regional Council. The issues before us are of such magnitude that they require careful consideration by all parties. As this deadline passes, however, such an agreement has not been reached. Given the position of the parties at this time, we have lowered our expectation that an agreement can be reached in the next couple of days. If an agreement cannot be negotiated there would seem to be no recourse but to request use of the appropriate NERC process.</w:t>
      </w:r>
    </w:p>
    <w:p>
      <w:pPr>
        <w:pStyle w:val="Normal"/>
        <w:rPr>
          <w:b/>
          <w:sz w:val="24"/>
        </w:rPr>
      </w:pPr>
      <w:r>
        <w:rPr>
          <w:b/>
          <w:sz w:val="24"/>
        </w:rPr>
      </w:r>
    </w:p>
    <w:p>
      <w:pPr>
        <w:pStyle w:val="Normal"/>
        <w:rPr>
          <w:b/>
          <w:sz w:val="24"/>
        </w:rPr>
      </w:pPr>
      <w:r>
        <w:rPr>
          <w:b/>
          <w:sz w:val="24"/>
        </w:rPr>
        <w:t xml:space="preserve">We appreciate NERC’s interest in this issue and respectfully submit this interim report. </w:t>
      </w:r>
    </w:p>
    <w:p>
      <w:pPr>
        <w:pStyle w:val="Normal"/>
        <w:rPr>
          <w:b/>
          <w:sz w:val="24"/>
        </w:rPr>
      </w:pPr>
      <w:r>
        <w:rPr>
          <w:b/>
          <w:sz w:val="24"/>
        </w:rPr>
      </w:r>
    </w:p>
    <w:p>
      <w:pPr>
        <w:pStyle w:val="Normal"/>
        <w:rPr>
          <w:b/>
          <w:sz w:val="24"/>
        </w:rPr>
      </w:pPr>
      <w:r>
        <w:rPr>
          <w:b/>
          <w:sz w:val="24"/>
        </w:rPr>
        <w:t>Jim Maughn</w:t>
      </w:r>
    </w:p>
    <w:p>
      <w:pPr>
        <w:pStyle w:val="Normal"/>
        <w:rPr>
          <w:b/>
          <w:sz w:val="24"/>
        </w:rPr>
      </w:pPr>
      <w:r>
        <w:rPr>
          <w:b/>
          <w:sz w:val="24"/>
        </w:rPr>
      </w:r>
    </w:p>
    <w:p>
      <w:pPr>
        <w:pStyle w:val="Normal"/>
        <w:rPr>
          <w:b/>
          <w:sz w:val="24"/>
        </w:rPr>
      </w:pPr>
      <w:r>
        <w:rPr>
          <w:b/>
          <w:sz w:val="24"/>
        </w:rPr>
        <w:t>Cc: Terry Boston – TVA</w:t>
      </w:r>
    </w:p>
    <w:p>
      <w:pPr>
        <w:pStyle w:val="Normal"/>
        <w:rPr>
          <w:b/>
          <w:sz w:val="24"/>
        </w:rPr>
      </w:pPr>
      <w:r>
        <w:rPr>
          <w:b/>
          <w:sz w:val="24"/>
        </w:rPr>
        <w:t xml:space="preserve">       </w:t>
      </w:r>
      <w:r>
        <w:rPr>
          <w:b/>
          <w:sz w:val="24"/>
        </w:rPr>
        <w:t>Jeff Skilling – Enron</w:t>
      </w:r>
    </w:p>
    <w:p>
      <w:pPr>
        <w:pStyle w:val="Normal"/>
        <w:rPr>
          <w:b/>
          <w:sz w:val="24"/>
        </w:rPr>
      </w:pPr>
      <w:r>
        <w:rPr>
          <w:b/>
          <w:sz w:val="24"/>
        </w:rPr>
        <w:t xml:space="preserve">       </w:t>
      </w:r>
      <w:r>
        <w:rPr>
          <w:b/>
          <w:sz w:val="24"/>
        </w:rPr>
        <w:t>William Reinke - SERC</w:t>
      </w:r>
    </w:p>
    <w:p>
      <w:pPr>
        <w:pStyle w:val="Normal"/>
        <w:rPr>
          <w:b/>
          <w:sz w:val="24"/>
        </w:rPr>
      </w:pPr>
      <w:r>
        <w:rPr>
          <w:b/>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1999-09-28T18:46:00Z</dcterms:created>
  <dc:creator>Preferred Customer</dc:creator>
  <dc:description/>
  <dc:language>en-CA</dc:language>
  <cp:lastModifiedBy>Preferred Customer</cp:lastModifiedBy>
  <cp:lastPrinted>1999-09-28T16:15:00Z</cp:lastPrinted>
  <dcterms:modified xsi:type="dcterms:W3CDTF">1999-09-28T18:46:00Z</dcterms:modified>
  <cp:revision>2</cp:revision>
  <dc:subject/>
  <dc:title>To: Gary Neale – NERC Chairman</dc:title>
</cp:coreProperties>
</file>