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680"/>
          <w:tab w:val="clear" w:pos="9360"/>
        </w:tabs>
        <w:rPr/>
      </w:pPr>
      <w:r>
        <w:rPr/>
      </w:r>
    </w:p>
    <w:p>
      <w:pPr>
        <w:pStyle w:val="Normal"/>
        <w:rPr/>
      </w:pPr>
      <w:r>
        <w:rPr/>
      </w:r>
    </w:p>
    <w:p>
      <w:pPr>
        <w:pStyle w:val="Normal"/>
        <w:rPr/>
      </w:pPr>
      <w:r>
        <w:rPr/>
      </w:r>
    </w:p>
    <w:p>
      <w:pPr>
        <w:pStyle w:val="WCPLeftIndent2"/>
        <w:rPr/>
      </w:pPr>
      <w:r>
        <w:rPr/>
        <w:t>Enron Corp. (NYSE: ENE) is providing further information to investors concerning several important matters:</w:t>
      </w:r>
    </w:p>
    <w:p>
      <w:pPr>
        <w:pStyle w:val="WCPLeftIndent2"/>
        <w:rPr/>
      </w:pPr>
      <w:r>
        <w:rPr/>
      </w:r>
    </w:p>
    <w:p>
      <w:pPr>
        <w:pStyle w:val="WCPBullet"/>
        <w:numPr>
          <w:ilvl w:val="0"/>
          <w:numId w:val="4"/>
        </w:numPr>
        <w:spacing w:lineRule="auto" w:line="480"/>
        <w:ind w:hanging="360" w:start="1080" w:end="720"/>
        <w:rPr/>
      </w:pPr>
      <w:r>
        <w:rPr/>
        <w:t>A required restatement of prior period financial statements to reflect the $1.2 billion reduction to shareholders’ equity; and (2) various income statement and balance sheet adjustments required as the result of a determination by Enron (which resulted from information made available from further review of certain related party transactions) that three unconsolidated entities formed in 1997 and 1999 should have been included in the consolidated financial statements of Enron pursuant to generally accepted accounting principles.  The restatement is outlined in Table 1;</w:t>
      </w:r>
    </w:p>
    <w:p>
      <w:pPr>
        <w:pStyle w:val="WCPBullet"/>
        <w:numPr>
          <w:ilvl w:val="0"/>
          <w:numId w:val="4"/>
        </w:numPr>
        <w:spacing w:lineRule="auto" w:line="480"/>
        <w:ind w:hanging="360" w:start="1080" w:end="720"/>
        <w:rPr/>
      </w:pPr>
      <w:r>
        <w:rPr/>
        <w:t>The Special Committee appointed by Enron’s Board of Directors to review transactions between Enron and related parties;</w:t>
      </w:r>
    </w:p>
    <w:p>
      <w:pPr>
        <w:pStyle w:val="WCPBullet"/>
        <w:numPr>
          <w:ilvl w:val="0"/>
          <w:numId w:val="4"/>
        </w:numPr>
        <w:spacing w:lineRule="auto" w:line="480"/>
        <w:ind w:hanging="360" w:start="1080" w:end="720"/>
        <w:rPr/>
      </w:pPr>
      <w:r>
        <w:rPr/>
        <w:t>The previously announced $1.2 billion reduction to shareholders’ equity recorded by Enron in the third quarter of 2001;</w:t>
      </w:r>
    </w:p>
    <w:p>
      <w:pPr>
        <w:pStyle w:val="WCPBullet"/>
        <w:numPr>
          <w:ilvl w:val="0"/>
          <w:numId w:val="4"/>
        </w:numPr>
        <w:spacing w:lineRule="auto" w:line="480"/>
        <w:ind w:hanging="360" w:start="1080" w:end="720"/>
        <w:rPr/>
      </w:pPr>
      <w:r>
        <w:rPr/>
        <w:t>Information regarding the LJM1 and LJM2 limited partnerships formed by Enron’s then Chief Financial Officer, Enron Board of Directors approval of the then CFO’s role in the partnerships and specific procedural safeguards concerning that role, the business relationships and transactions between Enron and the limited partnerships, and the economic results of transactions as known thus far, which are outlined in Table 2; and</w:t>
      </w:r>
    </w:p>
    <w:p>
      <w:pPr>
        <w:pStyle w:val="WCPBullet"/>
        <w:numPr>
          <w:ilvl w:val="0"/>
          <w:numId w:val="4"/>
        </w:numPr>
        <w:spacing w:lineRule="auto" w:line="480"/>
        <w:ind w:hanging="360" w:start="1080" w:end="720"/>
        <w:rPr/>
      </w:pPr>
      <w:r>
        <w:rPr/>
        <w:t>The business relationships and transactions between Enron and other related parties.</w:t>
      </w:r>
    </w:p>
    <w:p>
      <w:pPr>
        <w:pStyle w:val="WCPBullet"/>
        <w:numPr>
          <w:ilvl w:val="0"/>
          <w:numId w:val="0"/>
        </w:numPr>
        <w:spacing w:lineRule="auto" w:line="480"/>
        <w:ind w:hanging="0" w:start="0" w:end="720"/>
        <w:rPr/>
      </w:pPr>
      <w:r>
        <w:rPr/>
        <w:t>The Company is announcing that it intends to restate its financial statements for the years ended December 31, 1997 through 2000 and the quarters ended March 31 and June 30, 2001.  As a result, the previously issued financial statements for these periods and the audit reports covering the financial statements for these periods should not be relied upon.</w:t>
      </w:r>
    </w:p>
    <w:p>
      <w:pPr>
        <w:pStyle w:val="WCPBullet"/>
        <w:numPr>
          <w:ilvl w:val="0"/>
          <w:numId w:val="0"/>
        </w:numPr>
        <w:spacing w:lineRule="auto" w:line="480"/>
        <w:ind w:hanging="0" w:start="0" w:end="720"/>
        <w:rPr/>
      </w:pPr>
      <w:r>
        <w:rPr/>
        <w:t>As used herein, “Enron” means Enron Corp. or one or more of its subsidiaries.</w:t>
      </w:r>
    </w:p>
    <w:p>
      <w:pPr>
        <w:pStyle w:val="WCPLeftIndent2"/>
        <w:rPr/>
      </w:pPr>
      <w:r>
        <w:rPr/>
        <w:t>……………</w:t>
      </w:r>
    </w:p>
    <w:p>
      <w:pPr>
        <w:pStyle w:val="WCPLeftIndent2"/>
        <w:rPr/>
      </w:pPr>
      <w:r>
        <w:rPr/>
      </w:r>
    </w:p>
    <w:p>
      <w:pPr>
        <w:pStyle w:val="WCPLeftIndent2"/>
        <w:rPr/>
      </w:pPr>
      <w:r>
        <w:rPr/>
        <w:t>1.</w:t>
        <w:tab/>
      </w:r>
      <w:r>
        <w:rPr>
          <w:u w:val="single"/>
        </w:rPr>
        <w:t>Background Information on Special Purpose Entities and Related-Party Transactions</w:t>
      </w:r>
      <w:r>
        <w:rPr/>
        <w:t xml:space="preserve">    </w:t>
      </w:r>
    </w:p>
    <w:p>
      <w:pPr>
        <w:pStyle w:val="WCPLeftIndent2"/>
        <w:rPr/>
      </w:pPr>
      <w:r>
        <w:rPr/>
      </w:r>
    </w:p>
    <w:p>
      <w:pPr>
        <w:pStyle w:val="WCPLeftIndent2"/>
        <w:rPr/>
      </w:pPr>
      <w:r>
        <w:rPr/>
        <w:t>Enron, like many other companies, utilizes a variety of structured financings in the ordinary course of its business to access capital or mitigate risk.   Many of these transactions involve “special purpose entities,” or “SPEs.”   If accounting guidelines are followed, SPEs are not consolidated on the sponsoring company’s financial statements, and transactions between the sponsoring company and the SPE result in gain or loss being recognized by the Sponsor.   As used herein, “Enron” means Enron Corp. or one or more of its subsidiaries or affiliates.</w:t>
      </w:r>
    </w:p>
    <w:p>
      <w:pPr>
        <w:pStyle w:val="WCPLeftIndent2"/>
        <w:rPr/>
      </w:pPr>
      <w:r>
        <w:rPr/>
      </w:r>
    </w:p>
    <w:p>
      <w:pPr>
        <w:pStyle w:val="WCPLeftIndent2"/>
        <w:rPr/>
      </w:pPr>
      <w:r>
        <w:rPr/>
        <w:t xml:space="preserve">LJM Cayman, L.P. (“LJM1”) and LJM2 Co-Investment, L.P. (“LJM2”)  (collectively “LJM”) are private investment limited partnerships that were formed in 1999.  Andrew S. Fastow, then Executive Vice President and Chief Financial Officer of Enron, was (from inception through July 2001) the managing member of the LJM1 and LJM2 general partners.   These partnerships are a subject of the Special Committee’s investigation and, as noted above, it is possible that the Committee’s review will identify additional or different information concerning matters disclosed herein.  </w:t>
      </w:r>
    </w:p>
    <w:p>
      <w:pPr>
        <w:pStyle w:val="WCPLeftIndent2"/>
        <w:rPr/>
      </w:pPr>
      <w:r>
        <w:rPr/>
      </w:r>
    </w:p>
    <w:p>
      <w:pPr>
        <w:pStyle w:val="Normal"/>
        <w:tabs>
          <w:tab w:val="left" w:pos="720" w:leader="none"/>
        </w:tabs>
        <w:spacing w:lineRule="auto" w:line="480"/>
        <w:rPr/>
      </w:pPr>
      <w:r>
        <w:rPr/>
        <w:t>2.</w:t>
        <w:tab/>
      </w:r>
      <w:r>
        <w:rPr>
          <w:u w:val="single"/>
        </w:rPr>
        <w:t>Restatements of Prior Years’ Financial Statements</w:t>
      </w:r>
    </w:p>
    <w:p>
      <w:pPr>
        <w:pStyle w:val="Normal"/>
        <w:spacing w:lineRule="auto" w:line="480"/>
        <w:rPr/>
      </w:pPr>
      <w:r>
        <w:rPr/>
      </w:r>
    </w:p>
    <w:p>
      <w:pPr>
        <w:pStyle w:val="Normal"/>
        <w:spacing w:lineRule="auto" w:line="480"/>
        <w:rPr/>
      </w:pPr>
      <w:r>
        <w:rPr/>
        <w:t>Enron will restate its financial statements from 1997 to 2000 to reflect its conclusion that two SPEs did not meet certain accounting requirements and should have been consolidated, to reflect the adjustment to shareholders’ equity described above, and to include prior-year proposed audit adjustments (which were determined to be immaterial in the year proposed.   Specifically, Enron has concluded that based on current information:</w:t>
      </w:r>
    </w:p>
    <w:p>
      <w:pPr>
        <w:pStyle w:val="Normal"/>
        <w:numPr>
          <w:ilvl w:val="0"/>
          <w:numId w:val="6"/>
        </w:numPr>
        <w:spacing w:lineRule="auto" w:line="480"/>
        <w:rPr/>
      </w:pPr>
      <w:r>
        <w:rPr/>
        <w:t>The financial activities of Joint Energy Development Investments Limited Partnership (“JEDI”), in which Enron was an investor and which was consolidated into Enron’s financial statements during the first quarter of 2001, should have been consolidated beginning in November 1997; and</w:t>
      </w:r>
    </w:p>
    <w:p>
      <w:pPr>
        <w:pStyle w:val="Normal"/>
        <w:spacing w:lineRule="auto" w:line="480"/>
        <w:ind w:start="360" w:end="0"/>
        <w:rPr/>
      </w:pPr>
      <w:r>
        <w:rPr/>
      </w:r>
    </w:p>
    <w:p>
      <w:pPr>
        <w:pStyle w:val="Normal"/>
        <w:numPr>
          <w:ilvl w:val="0"/>
          <w:numId w:val="6"/>
        </w:numPr>
        <w:spacing w:lineRule="auto" w:line="480"/>
        <w:rPr/>
      </w:pPr>
      <w:r>
        <w:rPr/>
        <w:t>The financial activities of a wholly-owned subsidiary of LJM1, which engaged in derivative transactions with Enron to permit Enron to mitigate market risks of an equity investment in Rhythms NetConnections, Inc., should have been consolidated into Enron’s financial statements beginning in 1999.</w:t>
      </w:r>
    </w:p>
    <w:p>
      <w:pPr>
        <w:pStyle w:val="Header"/>
        <w:tabs>
          <w:tab w:val="clear" w:pos="4680"/>
          <w:tab w:val="clear" w:pos="9360"/>
        </w:tabs>
        <w:spacing w:lineRule="auto" w:line="480"/>
        <w:rPr/>
      </w:pPr>
      <w:r>
        <w:rPr/>
      </w:r>
    </w:p>
    <w:p>
      <w:pPr>
        <w:pStyle w:val="Normal"/>
        <w:spacing w:lineRule="auto" w:line="480"/>
        <w:jc w:val="center"/>
        <w:rPr/>
      </w:pPr>
      <w:r>
        <w:rPr/>
        <w:t>[NSERT TABLE HERE]</w:t>
      </w:r>
    </w:p>
    <w:p>
      <w:pPr>
        <w:pStyle w:val="Normal"/>
        <w:spacing w:lineRule="auto" w:line="480"/>
        <w:jc w:val="center"/>
        <w:rPr/>
      </w:pPr>
      <w:r>
        <w:rPr/>
      </w:r>
    </w:p>
    <w:p>
      <w:pPr>
        <w:pStyle w:val="Normal"/>
        <w:spacing w:lineRule="auto" w:line="480"/>
        <w:rPr/>
      </w:pPr>
      <w:r>
        <w:rPr/>
        <w:t>Enron’s current assessment indicates that the restatement will include a reduction to reported net income of approximately $94 million in 1997, $97 million in 1998, $230 million in 1999 and $110 million in 2000.  This reduction to net income is the result of the retroactive consolidation of JEDI beginning in November 1997 and the consolidation of the LJM1 subsidiary for 1999 and 2000.  The consolidation of JEDI also will increase Enron’s debt by approximately $710 million in 1997, $560 million in 1998, $685 million in 1999, $630 million in 2000.  The aggregate impact of the restatement (2) decrease Enron’s shareholders’ equity by $311 million, $381 million, $703 million, $929 million and $1870 million in 1997, 1998, 2000, and through second quarter 2001, respectively.  These restatement results are explained below.</w:t>
      </w:r>
    </w:p>
    <w:p>
      <w:pPr>
        <w:pStyle w:val="Normal"/>
        <w:spacing w:lineRule="auto" w:line="480"/>
        <w:rPr/>
      </w:pPr>
      <w:r>
        <w:rPr/>
      </w:r>
    </w:p>
    <w:p>
      <w:pPr>
        <w:pStyle w:val="Normal"/>
        <w:tabs>
          <w:tab w:val="left" w:pos="720" w:leader="none"/>
        </w:tabs>
        <w:spacing w:lineRule="auto" w:line="480"/>
        <w:ind w:start="720" w:end="0"/>
        <w:rPr/>
      </w:pPr>
      <w:r>
        <w:rPr/>
        <w:t xml:space="preserve">A.  </w:t>
        <w:tab/>
      </w:r>
      <w:r>
        <w:rPr>
          <w:u w:val="single"/>
        </w:rPr>
        <w:t>Restatement Number 1</w:t>
      </w:r>
    </w:p>
    <w:p>
      <w:pPr>
        <w:pStyle w:val="BodyText"/>
        <w:spacing w:lineRule="auto" w:line="480"/>
        <w:ind w:start="720" w:end="0"/>
        <w:rPr>
          <w:sz w:val="24"/>
        </w:rPr>
      </w:pPr>
      <w:r>
        <w:rPr>
          <w:sz w:val="24"/>
        </w:rPr>
        <w:t>Enron’s decision that JEDI should be consolidated back to November 1997 is based on its current information that JEDI’s limited partner, Chewco Investments, L.P. (“Chewco”), did not meet the criteria to qualify as an unconsolidated SPE, and as a result of Chewco’s failure to meet the criteria, JEDI did not qualify for unconsolidated treatment.  As described in greater detail below, Chewco contributed approximately $383 million (representing both debt and equity) to JEDI.  Because of Chewco’s insufficient capitalization, JEDI did not qualify for unconsolidated treatment.  As a result, Enron’s prior-year reported debt amounts will be increased by both JEDI’s and Chewco’s borrowings and JEDI’s interest expense from Chewco.   The net effect will be to reduce Enron’s prior-years’ reported net income amounts.</w:t>
      </w:r>
    </w:p>
    <w:p>
      <w:pPr>
        <w:pStyle w:val="Normal"/>
        <w:spacing w:lineRule="auto" w:line="480"/>
        <w:ind w:start="720" w:end="0"/>
        <w:rPr>
          <w:sz w:val="24"/>
        </w:rPr>
      </w:pPr>
      <w:r>
        <w:rPr>
          <w:sz w:val="24"/>
        </w:rPr>
      </w:r>
    </w:p>
    <w:p>
      <w:pPr>
        <w:pStyle w:val="Normal"/>
        <w:tabs>
          <w:tab w:val="left" w:pos="720" w:leader="none"/>
        </w:tabs>
        <w:spacing w:lineRule="auto" w:line="480"/>
        <w:ind w:start="720" w:end="0"/>
        <w:rPr/>
      </w:pPr>
      <w:r>
        <w:rPr/>
        <w:t xml:space="preserve">B.  </w:t>
        <w:tab/>
      </w:r>
      <w:r>
        <w:rPr>
          <w:u w:val="single"/>
        </w:rPr>
        <w:t>Restatement Number 2</w:t>
      </w:r>
    </w:p>
    <w:p>
      <w:pPr>
        <w:pStyle w:val="WCPLeftIndent2"/>
        <w:ind w:start="720" w:end="0"/>
        <w:rPr/>
      </w:pPr>
      <w:r>
        <w:rPr/>
        <w:t>Enron’s decision that the LJM1 subsidiary should be consolidated in 1999 and 2000 is based on Enron’s current assessment that the subsidiary did not qualify for unconsolidated treatment.  Accordingly, Enron now believes that the derivatives transactions in which Enron engaged with the LJM1 subsidiary (related to Enron’s investment in the stock of Rhythms NetConnections, Inc. should have been consolidated into Enron’s financial statements for 1999 and 2000.  This consolidation will reduce Enron’s net income in 1999 and 2000 by eliminating the income recognized by Enron on these derivative transactions.</w:t>
      </w:r>
    </w:p>
    <w:p>
      <w:pPr>
        <w:pStyle w:val="Normal"/>
        <w:spacing w:lineRule="auto" w:line="480"/>
        <w:ind w:start="720" w:end="0"/>
        <w:rPr/>
      </w:pPr>
      <w:r>
        <w:rPr/>
      </w:r>
    </w:p>
    <w:p>
      <w:pPr>
        <w:pStyle w:val="Normal"/>
        <w:tabs>
          <w:tab w:val="clear" w:pos="720"/>
          <w:tab w:val="left" w:pos="630" w:leader="none"/>
        </w:tabs>
        <w:spacing w:lineRule="auto" w:line="480"/>
        <w:ind w:start="720" w:end="0"/>
        <w:rPr/>
      </w:pPr>
      <w:r>
        <w:rPr/>
        <w:t xml:space="preserve">C.   </w:t>
        <w:tab/>
      </w:r>
      <w:r>
        <w:rPr>
          <w:u w:val="single"/>
        </w:rPr>
        <w:t>Restatement Number 3</w:t>
      </w:r>
    </w:p>
    <w:p>
      <w:pPr>
        <w:pStyle w:val="WCPLeftIndent2"/>
        <w:ind w:start="720" w:end="0"/>
        <w:rPr/>
      </w:pPr>
      <w:r>
        <w:rPr/>
        <w:t>As discussed in 3 below, with respect to Enron’s disclosure of approximately a $1.2 billion reduction to shareholders’ equity in the third quarter of 2001, shareholders’ equity will be reduced by approximately $172 million as of June 30, 2000, and approximately an additional $828 million reduction will be made as of March 31, 2001, to properly record  the  notes receivable (described in _____ below) as a reduction to equity when incurred.</w:t>
      </w:r>
    </w:p>
    <w:p>
      <w:pPr>
        <w:pStyle w:val="WCPLeftIndent2"/>
        <w:ind w:start="720" w:end="0"/>
        <w:rPr/>
      </w:pPr>
      <w:r>
        <w:rPr/>
      </w:r>
    </w:p>
    <w:p>
      <w:pPr>
        <w:pStyle w:val="WCPLeftIndent2"/>
        <w:numPr>
          <w:ilvl w:val="0"/>
          <w:numId w:val="5"/>
        </w:numPr>
        <w:rPr/>
      </w:pPr>
      <w:r>
        <w:rPr>
          <w:u w:val="single"/>
        </w:rPr>
        <w:t>Other Previously Recorded Items</w:t>
      </w:r>
    </w:p>
    <w:p>
      <w:pPr>
        <w:pStyle w:val="WCPLeftIndent2"/>
        <w:ind w:start="720" w:end="0"/>
        <w:rPr/>
      </w:pPr>
      <w:r>
        <w:rPr/>
        <w:t>Restatements will also include prior year proposed audit adjustments which were determined to be immaterial in the year proposed.</w:t>
      </w:r>
    </w:p>
    <w:p>
      <w:pPr>
        <w:pStyle w:val="WCPLeftIndent2"/>
        <w:rPr/>
      </w:pPr>
      <w:r>
        <w:rPr/>
      </w:r>
    </w:p>
    <w:p>
      <w:pPr>
        <w:pStyle w:val="Normal"/>
        <w:tabs>
          <w:tab w:val="left" w:pos="720" w:leader="none"/>
        </w:tabs>
        <w:spacing w:lineRule="auto" w:line="480"/>
        <w:rPr/>
      </w:pPr>
      <w:r>
        <w:rPr/>
        <w:t>3.</w:t>
        <w:tab/>
      </w:r>
      <w:r>
        <w:rPr>
          <w:u w:val="single"/>
        </w:rPr>
        <w:t>The Special Committee</w:t>
      </w:r>
    </w:p>
    <w:p>
      <w:pPr>
        <w:pStyle w:val="Normal"/>
        <w:spacing w:lineRule="auto" w:line="480"/>
        <w:rPr/>
      </w:pPr>
      <w:r>
        <w:rPr/>
        <w:t>Based on various reports and information concerning Enron’s transactions with certain related parties, on October 31, 2001, the Board of Directors elected William Powers, Dean of the University of Texas School of Law, to the Board, and appointed Dean Powers as Chairman of a Special Committee of the Board to conduct an independent investigation and review of transactions between Enron and certain related parties.  The Special Committee also is charged with taking any disciplinary action that it deems appropriate, communicating with the Securities and Exchange Commission (which has commenced a formal investigation of these matters), and recommending to the Board any other appropriate actions.  The other members of the Special Committee are independent directors Frank Savage, CEO of Savage Holdings LLC, Paulo Ferraz Pereira, Executive Vice President of  investment bank Group Bozano, and Herbert S. Winokur, Jr., Chairman and CEO of Capricorn Holdings, Inc.</w:t>
      </w:r>
    </w:p>
    <w:p>
      <w:pPr>
        <w:pStyle w:val="Normal"/>
        <w:spacing w:lineRule="auto" w:line="480"/>
        <w:rPr/>
      </w:pPr>
      <w:r>
        <w:rPr/>
      </w:r>
    </w:p>
    <w:p>
      <w:pPr>
        <w:pStyle w:val="WCPLeftIndent2"/>
        <w:rPr/>
      </w:pPr>
      <w:r>
        <w:rPr/>
        <w:t>The Special Committee has retained the law firm of Wilmer, Cutler &amp; Pickering as its counsel.  The firm’s representation is led by William R. McLucas, former head of the Division of Enforcement of the SEC.  Wilmer, Cutler has retained Deloitte &amp; Touche to provide related accounting advice to the law firm.  The Special Committee’s review is in its early stages.  It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its review, have not yet been determined.  While the information provided herein reflects Enron’s current understanding of the relevant facts, it is possible that the Special Committee’s review will identify additional or different information concerning these matters.</w:t>
      </w:r>
    </w:p>
    <w:p>
      <w:pPr>
        <w:pStyle w:val="WCPLeftIndent2"/>
        <w:rPr/>
      </w:pPr>
      <w:r>
        <w:rPr/>
      </w:r>
    </w:p>
    <w:p>
      <w:pPr>
        <w:pStyle w:val="Normal"/>
        <w:spacing w:lineRule="auto" w:line="480"/>
        <w:rPr/>
      </w:pPr>
      <w:r>
        <w:rPr/>
      </w:r>
    </w:p>
    <w:p>
      <w:pPr>
        <w:pStyle w:val="Normal"/>
        <w:tabs>
          <w:tab w:val="left" w:pos="720" w:leader="none"/>
        </w:tabs>
        <w:spacing w:lineRule="auto" w:line="480"/>
        <w:rPr/>
      </w:pPr>
      <w:r>
        <w:rPr/>
        <w:t>4.</w:t>
        <w:tab/>
      </w:r>
      <w:r>
        <w:rPr>
          <w:u w:val="single"/>
        </w:rPr>
        <w:t>Accounting Basis for $1.2 Billion Reduction in Shareholder’s Equi</w:t>
      </w:r>
      <w:r>
        <w:rPr/>
        <w:t>ty</w:t>
      </w:r>
    </w:p>
    <w:p>
      <w:pPr>
        <w:pStyle w:val="Normal"/>
        <w:spacing w:lineRule="auto" w:line="480"/>
        <w:rPr>
          <w:u w:val="single"/>
        </w:rPr>
      </w:pPr>
      <w:r>
        <w:rPr>
          <w:u w:val="single"/>
        </w:rPr>
      </w:r>
    </w:p>
    <w:p>
      <w:pPr>
        <w:pStyle w:val="Normal"/>
        <w:spacing w:lineRule="auto" w:line="480"/>
        <w:rPr/>
      </w:pPr>
      <w:r>
        <w:rPr/>
        <w:t xml:space="preserve"> </w:t>
      </w:r>
      <w:r>
        <w:rPr/>
        <w:t xml:space="preserve">Enron’s previously announced reduction of shareholders’ equity by $1.2 billion primarily involves the correction of the effect of accounting errors initially made in the second quarter of 2000 and then repeated in the first quarter of 2001.   As described in more detail below, four SPE’s known as Raptor I-IV (collectively, “Raptor”) were created in 2000 and permitted Enron to attempt to hedge market risk in certain of its investments.  LJM2 invested in these entities, but the related party nature of the transaction is not relevant to the accounting issue.  As part of the capitalization of these entities, Enron was obligated to issue common stock.  In 2000, in connection with Enron’s initial accounting for the formation of Raptor, Enron increased shareholders’ equity in exchange for a note receivable.  Enron now believes that, under generally accepted accounting principles, the note receivable should have been netted directly shareholders’ equity (similar to a shareholder loan). [which would have resulted in no change to shareholders’ equity.]  The net effect of these initial accounting entries was to overstate both notes receivable and shareholders’ equity by approximately $172 million (which represents less than 2% of shareholders’ equity at the time) in each of the second quarter, third quarter, and year-end financials of Enron for the year 2000.  </w:t>
      </w:r>
    </w:p>
    <w:p>
      <w:pPr>
        <w:pStyle w:val="WCPLeftIndent2"/>
        <w:rPr/>
      </w:pPr>
      <w:r>
        <w:rPr/>
      </w:r>
    </w:p>
    <w:p>
      <w:pPr>
        <w:pStyle w:val="WCPLeftIndent2"/>
        <w:rPr/>
      </w:pPr>
      <w:r>
        <w:rPr/>
        <w:t xml:space="preserve">In the first quarter of 2001, Enron entered into similar additional contracts with Raptor that obligated Enron to issue Enron common stock in the future in exchange for a note receivables.  Enron accounted for these additional transactions using the same accounting treatment as the earlier contracts.  This resulted in additional overstatements of notes receivable and shareholders’ equity of approximately $828 million each.  As a result of these errors, shareholders’ equity and notes receivable were overstated by a total of $1 billion in the unaudited financial statements of Enron for the quarters ended March 31 and June 30, 2001. </w:t>
      </w:r>
    </w:p>
    <w:p>
      <w:pPr>
        <w:pStyle w:val="WCPLeftIndent2"/>
        <w:rPr/>
      </w:pPr>
      <w:r>
        <w:rPr/>
      </w:r>
    </w:p>
    <w:p>
      <w:pPr>
        <w:pStyle w:val="WCPLeftIndent2"/>
        <w:rPr/>
      </w:pPr>
      <w:r>
        <w:rPr/>
        <w:t>In the third quarter of 2001, Enron purchased ownership of all equity interests in Raptor.  As previously discussed, Enron accounted for this transaction as a reduction to Enron shareholders’ equity and notes receivable by approximately $1 billion.  In addition, because of the increase in the number of the Enron shares deliverable under Enron share settled contracts, approximately an additional $200 million was recorded as a reduction to shareholders’ equity upon the purchase of LJM2’s equity.   The acquisition of LJM2’s interest in Raptor effectively cancelled Enron’s obligation to deliver shares in the future under the contracts and, accordingly, Enron was required to reduce shareholders’ equity by an amount equal to the then fair value of the shares previously issuable (similar to a purchase of treasury stock).  This had the effect of correcting the earlier accounting treatment and resulted in a direct reduction to shareholders’ equity of additional $1.2 billion.</w:t>
      </w:r>
    </w:p>
    <w:p>
      <w:pPr>
        <w:pStyle w:val="WCPLeftIndent2"/>
        <w:rPr/>
      </w:pPr>
      <w:r>
        <w:rPr/>
      </w:r>
    </w:p>
    <w:p>
      <w:pPr>
        <w:pStyle w:val="Normal"/>
        <w:spacing w:lineRule="auto" w:line="480"/>
        <w:rPr/>
      </w:pPr>
      <w:r>
        <w:rPr/>
        <w:t>Prior period financials will be restated to adjust shareholders’ equity for all periods affected as shown in Section 2.</w:t>
      </w:r>
    </w:p>
    <w:p>
      <w:pPr>
        <w:pStyle w:val="Normal"/>
        <w:spacing w:lineRule="auto" w:line="480"/>
        <w:rPr/>
      </w:pPr>
      <w:r>
        <w:rPr/>
      </w:r>
    </w:p>
    <w:p>
      <w:pPr>
        <w:pStyle w:val="Normal"/>
        <w:spacing w:lineRule="auto" w:line="480"/>
        <w:ind w:start="720" w:end="0"/>
        <w:rPr/>
      </w:pPr>
      <w:r>
        <w:rPr/>
      </w:r>
    </w:p>
    <w:p>
      <w:pPr>
        <w:pStyle w:val="Normal"/>
        <w:tabs>
          <w:tab w:val="left" w:pos="720" w:leader="none"/>
        </w:tabs>
        <w:spacing w:lineRule="auto" w:line="480"/>
        <w:rPr/>
      </w:pPr>
      <w:r>
        <w:rPr/>
        <w:t xml:space="preserve">5.  </w:t>
        <w:tab/>
      </w:r>
      <w:r>
        <w:rPr>
          <w:u w:val="single"/>
        </w:rPr>
        <w:t>The LJM Limited Partnerships and Transactions with Enron</w:t>
      </w:r>
    </w:p>
    <w:p>
      <w:pPr>
        <w:pStyle w:val="Normal"/>
        <w:spacing w:lineRule="auto" w:line="480"/>
        <w:rPr/>
      </w:pPr>
      <w:r>
        <w:rPr>
          <w:i/>
        </w:rPr>
        <w:t xml:space="preserve">The LJM Partnerships  </w:t>
      </w:r>
      <w:r>
        <w:rPr/>
        <w:t xml:space="preserve">As discussed above, LJM1 and LJM2 are private investment limited partnerships.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received tens of millions of dollars from these partnerships relating to his LJM management and investment activities.  Enron believes that the aggregate initial capital commitments to LJM1 were approximately $16 million, and the aggregate commitments for LJM2 by all of the partners were approximately $394 million.  </w:t>
      </w:r>
    </w:p>
    <w:p>
      <w:pPr>
        <w:pStyle w:val="Normal"/>
        <w:spacing w:lineRule="auto" w:line="480"/>
        <w:rPr/>
      </w:pPr>
      <w:r>
        <w:rPr/>
      </w:r>
    </w:p>
    <w:p>
      <w:pPr>
        <w:pStyle w:val="WCPLeftIndent2"/>
        <w:rPr/>
      </w:pPr>
      <w:r>
        <w:rPr/>
        <w:t xml:space="preserve">LJM1 and LJM2 were described to the Enron Board of Directors as potential sources of capital to buy assets from Enron, potential equity partner for Enron investments, and as counterparties to help mitigate risks associated with Enron’s investments.   The Board also was informed that LJM1 and LJM2 intended to transact business with third parties.   </w:t>
      </w:r>
    </w:p>
    <w:p>
      <w:pPr>
        <w:pStyle w:val="WCPLeftIndent2"/>
        <w:rPr/>
      </w:pPr>
      <w:r>
        <w:rPr/>
      </w:r>
    </w:p>
    <w:p>
      <w:pPr>
        <w:pStyle w:val="BodyText"/>
        <w:spacing w:lineRule="auto" w:line="480"/>
        <w:rPr>
          <w:sz w:val="24"/>
        </w:rPr>
      </w:pPr>
      <w:r>
        <w:rPr>
          <w:sz w:val="24"/>
        </w:rPr>
        <w:t>Prior to approving Mr. Fastow’s affiliation with LJM1 and LJM2, Enron’s Board of Directors determined that Mr. Fastow’s participation in the partnerships would not adversely affect the interests of Enron.  The Board approved the initial transaction with LJM1 and recognized that Enron may (but was not required to) engage in additional transactions with LJM1.  For transactions with LJM2, the Board directed that certain controls be put into place relating to Mr. Fastow’s involvement with the partnerships and transactions between Enron and the partnerships.  The Board required review and approval of each transaction by the Office of the Chairman, and both the Chief Accounting Officer and the Chief Risk Officer.  The Board also recognized the ability of the Chairman of the Board to require Mr. Fastow to resign from the partnerships at any time, and directed that the Audit and Compliance Committee conduct annual reviews of transactions between Enron and LJM1 and LJM2 completed during the prior year.  Whether these controls and procedures were properly implemented is a subject of the Special Committee’s investigation.</w:t>
      </w:r>
    </w:p>
    <w:p>
      <w:pPr>
        <w:pStyle w:val="WCPLeftIndent2"/>
        <w:rPr>
          <w:sz w:val="24"/>
        </w:rPr>
      </w:pPr>
      <w:r>
        <w:rPr>
          <w:sz w:val="24"/>
        </w:rPr>
      </w:r>
    </w:p>
    <w:p>
      <w:pPr>
        <w:pStyle w:val="WCPLeftIndent2"/>
        <w:rPr/>
      </w:pPr>
      <w:r>
        <w:rPr/>
        <w:t>Enron believes that, as of July 31, 2001, Mr. Fastow sold his interests in LJM 1 and LJM2 to Michael J. Kopper, and that Mr. Fastow ceased to be the managing member of LJM’s general partners.  Prior to that time, Mr. Kopper was a non-executive officer of an Enron division (reporting to Mr. Fastow); Enron believes he resigned from Enron immediately before purchasing Mr. Fastow’s interests in LJM2.  Mr. Fastow took a leave of absence and was replaced as Enron’s Chief Financial Officer on October 24, 2001.  Mr. Fastow resigned as an Enron employee on November ___, 2001.</w:t>
      </w:r>
    </w:p>
    <w:p>
      <w:pPr>
        <w:pStyle w:val="Normal"/>
        <w:spacing w:lineRule="auto" w:line="480"/>
        <w:rPr/>
      </w:pPr>
      <w:r>
        <w:rPr/>
      </w:r>
    </w:p>
    <w:p>
      <w:pPr>
        <w:pStyle w:val="WCPLeftIndent2"/>
        <w:rPr/>
      </w:pPr>
      <w:r>
        <w:rPr>
          <w:i/>
        </w:rPr>
        <w:t>General Summary of LJM Transactions</w:t>
      </w:r>
      <w:r>
        <w:rPr/>
        <w:t xml:space="preserve">.  From June 1999 through September 2001, Enron and Enron-related entities entered into 24 business relationships in which LJM1 or LJM2 participated in some capacity.  These relationships were of several general types, including:  (1) sales of assets by Enron to LJM2 and by LJM2 to Enron; (2) purchases of debt or equity interests by LJM1 or LJM2 in Enron-sponsored special purpose entities; (3) purchases of debt or equity interests by LJM1 or LJM2 in Enron affiliates or other entities in which Enron was an investor; (4) purchases of equity investments by LJM1 or LJM2 in SPEs designed to mitigate market risk in Enron’s investments; (5) sale of a call option by LJM2 to Enron on physical assets that LJM2 had contracted to purchase from a manufacturer of such assets; and (6) a subordinated loan to LJM2 from an Enron affiliate.  The financial results of these transactions are summarized in the table below.  </w:t>
      </w:r>
    </w:p>
    <w:p>
      <w:pPr>
        <w:pStyle w:val="WCPLeftIndent2"/>
        <w:rPr/>
      </w:pPr>
      <w:r>
        <w:rPr/>
      </w:r>
    </w:p>
    <w:p>
      <w:pPr>
        <w:pStyle w:val="WCPLeftIndent2"/>
        <w:jc w:val="center"/>
        <w:rPr/>
      </w:pPr>
      <w:r>
        <w:rPr/>
        <w:t>INSERT TABLE 2</w:t>
      </w:r>
    </w:p>
    <w:p>
      <w:pPr>
        <w:pStyle w:val="WCPLeftIndent2"/>
        <w:jc w:val="center"/>
        <w:rPr/>
      </w:pPr>
      <w:r>
        <w:rPr/>
      </w:r>
    </w:p>
    <w:p>
      <w:pPr>
        <w:pStyle w:val="WCPLeftIndent2"/>
        <w:rPr/>
      </w:pPr>
      <w:r>
        <w:rPr/>
        <w:t xml:space="preserve">During this period, Enron recognized pre-tax earnings (losses) in these transactions of approximately $139 million, $585 million and $166 million, in 1999, 2000 and 2001, respectively, including the effect of a $711 million pre-tax charge recognized in 2001 related to the unwinding of the Raptor SPEs.  Enron believes that LJM1 and LJM2 received cash and other value where disclosure of approximately $146 million, an estimated $91 million of which is non-cash value from the receipt of approximately $3.6 million shares of Enron restricted stock, $289 million and $178 million in 1999, 2000 and 2001, respectively, totaling $522 million and invested cash of approximately $182 million, $383 million, and $3 million for 1999, 2000 and 2001, respectively, totaling $565 million related to equity distributions, earnings, sales proceeds, fees, and interest arising from its transactions with Enron. </w:t>
      </w:r>
    </w:p>
    <w:p>
      <w:pPr>
        <w:pStyle w:val="WCPLeftIndent2"/>
        <w:rPr/>
      </w:pPr>
      <w:r>
        <w:rPr/>
      </w:r>
    </w:p>
    <w:p>
      <w:pPr>
        <w:pStyle w:val="Normal"/>
        <w:spacing w:lineRule="auto" w:line="480"/>
        <w:rPr/>
      </w:pPr>
      <w:r>
        <w:rPr>
          <w:i/>
        </w:rPr>
        <w:t>Sale of Assets</w:t>
      </w:r>
      <w:r>
        <w:rPr/>
        <w:t>.  In June 2000, LJM2 purchased dark fiber optic cable from Enron for a purchase price of approximately $100 million.  LJM2 paid Enron approximately $30 million in cash and the balance in an interest-bearing note for approximately $70 million.  Enron recognized approximately $67 million in pre-tax earnings in 2000 related to the asset sale.   Pursuant to a marketing agreement with LJM2, Enron was compensated for marketing the fiber to others and provided operation and maintenance services to LJM2 with respect to the fiber.  LJM sold a portion of the dark fiber to industry participants for $40 million.   LJM2 sold the remaining dark fiber in December 2000 to a newly-created SPE and formed for the purpose of acquiring the fiber.  In December 2000, LJM2 used a portion of the proceeds to pay in full the note and accrued interest owed to Enron.  At the time of  LJM2’s sale of the dark fiber to the SPE, Enron entered into a “total return swap,” which served as credit support to the SPE for the benefit of some of the debt holders of a third party investor in the SPE, effectively providing the lender with a specified rate of return.  [As a result, Enron’s credit exposure under the approximate $70 million note was replaced with approximately $61 million in exposure under the total return swap].  LJM2 earned approximately $2.4 million on its resale to the fiber.</w:t>
      </w:r>
    </w:p>
    <w:p>
      <w:pPr>
        <w:pStyle w:val="WCPLeftIndent2"/>
        <w:rPr/>
      </w:pPr>
      <w:r>
        <w:rPr/>
      </w:r>
    </w:p>
    <w:p>
      <w:pPr>
        <w:pStyle w:val="WCPLeftIndent2"/>
        <w:rPr/>
      </w:pPr>
      <w:r>
        <w:rPr>
          <w:i/>
        </w:rPr>
        <w:t>Purchases of Equity/Debt in Enron-Sponsored SPEs</w:t>
      </w:r>
      <w:r>
        <w:rPr/>
        <w:t xml:space="preserve">.  Between September 1999 and December 2000, LJM1 or LJM2 purchased equity or debt interests in 10 Enron-sponsored SPEs.  (Examples of these entities include Osprey Trust and Yosemite Securities Trust, which have been mentioned recently in the press).  LJM1 and LJM2 invested approximately $178 million in these ten SPEs.  These SPEs generated pre-tax earnings to Enron of approximately $5 million in 1999.  More importantly, these transactions enabled Enron to monetize Enron’s interests in the underlying assets of the SPE.  </w:t>
      </w:r>
    </w:p>
    <w:p>
      <w:pPr>
        <w:pStyle w:val="WCPLeftIndent2"/>
        <w:rPr/>
      </w:pPr>
      <w:r>
        <w:rPr/>
      </w:r>
    </w:p>
    <w:p>
      <w:pPr>
        <w:pStyle w:val="WCPLeftIndent2"/>
        <w:rPr/>
      </w:pPr>
      <w:r>
        <w:rPr/>
        <w:t xml:space="preserve">Enron believes that LJM1 received cash of approximately $15 million, $68 million and $53 million in 1999, 2000 and 2001, respectively, relating to their investments in these entities.   In three instances, third-party financial institutions also invested in these entities.  LJM invested on the same terms as the third-party investors. </w:t>
      </w:r>
    </w:p>
    <w:p>
      <w:pPr>
        <w:pStyle w:val="Normal"/>
        <w:spacing w:lineRule="auto" w:line="480"/>
        <w:rPr/>
      </w:pPr>
      <w:r>
        <w:rPr/>
        <w:t>The SPEs owned, directly or indirectly, a variety of operating and financial assets.  Yosemite Securities Trust was a finance entity which facilitated Enron’s ability to raise funds in the capital markets by increasing its borrowing capacity through the use of credit-linked notes.  This financing arrangement is commonly offered by numerous investment banks.  Osprey Trust is beneficially-owned by a number of financial institutions and is a limited partner in the Whitewing partnership, with Enron as the other partner.  Osprey was used to “monetize” (</w:t>
      </w:r>
      <w:r>
        <w:rPr>
          <w:u w:val="single"/>
        </w:rPr>
        <w:t>i.e.</w:t>
      </w:r>
      <w:r>
        <w:rPr/>
        <w:t xml:space="preserve"> generate cash flow) Enron investments purchased by the partnership for future sale.</w:t>
      </w:r>
    </w:p>
    <w:p>
      <w:pPr>
        <w:pStyle w:val="WCPLeftIndent2"/>
        <w:rPr/>
      </w:pPr>
      <w:r>
        <w:rPr/>
      </w:r>
    </w:p>
    <w:p>
      <w:pPr>
        <w:pStyle w:val="WCPLeftIndent2"/>
        <w:rPr/>
      </w:pPr>
      <w:r>
        <w:rPr/>
        <w:t>In two of these ten transactions, Enron entered into agency or marketing agreements with LJM2 that provided Enron with the right to market the underlying assets.   Terms of such arrangements provided Enron with profit potential in proceeds received after LJM2 achieved a specified return level.</w:t>
      </w:r>
    </w:p>
    <w:p>
      <w:pPr>
        <w:pStyle w:val="WCPLeftIndent2"/>
        <w:rPr/>
      </w:pPr>
      <w:r>
        <w:rPr/>
      </w:r>
    </w:p>
    <w:p>
      <w:pPr>
        <w:pStyle w:val="WCPLeftIndent2"/>
        <w:rPr/>
      </w:pPr>
      <w:r>
        <w:rPr/>
        <w:t>As a result of these transactions, Enron was able to enter into “asset-backed securitizations” in which the parties involved, to Enron’s knowledge, were unrelated to LJM.  These transactions resulted in Enron’s recognizing approximately $146 million and $5 million in earnings in 2000 and 2001, respectively, and approximately $252 million in cash inflows, all in 2000.</w:t>
      </w:r>
    </w:p>
    <w:p>
      <w:pPr>
        <w:pStyle w:val="WCPLeftIndent2"/>
        <w:rPr/>
      </w:pPr>
      <w:r>
        <w:rPr/>
      </w:r>
    </w:p>
    <w:p>
      <w:pPr>
        <w:pStyle w:val="WCPLeftIndent2"/>
        <w:rPr/>
      </w:pPr>
      <w:r>
        <w:rPr>
          <w:i/>
        </w:rPr>
        <w:t>Investment in Enron Affiliates</w:t>
      </w:r>
      <w:r>
        <w:rPr/>
        <w:t>.  In two transactions, LJM2 made direct and indirect investments in stock (and warrants convertible into stock) of New Power Holdings, Inc. (“NPW”).  NPW initially was a wholly-owned subsidiary of Enron, subsequently included other strategic and financial investors, and in October 2000 it became a public company.  NPW is engaged in the retail marketing and retail sale of natural gas, electricity and other commodities, products and services to residential and small commercial customers in the United States.  In January 2000, LJM2 invested approximately $673,000 in Cortez Energy Services LLC, a limited liability company formed by Enron and LJM2, and Enron contributed five million shares of NPW stock.  In July 2000, in a private placement, LJM2 purchased warrants exercisable for NPW stock for  $50 million on the same terms as third-party investors.  Enron believes that LJM2 still owns these investments.</w:t>
      </w:r>
    </w:p>
    <w:p>
      <w:pPr>
        <w:pStyle w:val="WCPLeftIndent2"/>
        <w:rPr/>
      </w:pPr>
      <w:r>
        <w:rPr/>
      </w:r>
    </w:p>
    <w:p>
      <w:pPr>
        <w:pStyle w:val="WCPLeftIndent2"/>
        <w:rPr/>
      </w:pPr>
      <w:r>
        <w:rPr/>
        <w:t xml:space="preserve">In September 1999, LJM1 acquired from Enron a 13% equity interest in a company owning a power project in Brazil for approximately $10.8 million, and acquired redeemable preference shares in a related company for approximately $500,000.  Enron recognized a $1.7 million loss on the sale of these interests to LJM1.  Enron recognized additional mark-to-market earnings of approximately $65 million, $14 million and $5 million from a commodity contract with the company owning the power project in 1999, 2000 and 2001, respectively.  As part of an exclusive marketing arrangement to sell LJM1’s equity in the project to third-parties and to limit LJM1’s return rate, Enron paid LJM1 a fee of $240,000 in May 2000.  In 2001, Enron repurchased LJM1’s 13% equity interest and the redeemable preference shares for approximately $14.4 million.  Enron currently owns this equity interest.  </w:t>
      </w:r>
    </w:p>
    <w:p>
      <w:pPr>
        <w:pStyle w:val="WCPLeftIndent2"/>
        <w:rPr/>
      </w:pPr>
      <w:r>
        <w:rPr/>
      </w:r>
    </w:p>
    <w:p>
      <w:pPr>
        <w:pStyle w:val="WCPLeftIndent2"/>
        <w:rPr/>
      </w:pPr>
      <w:r>
        <w:rPr/>
        <w:t>In December 1999, LJM2 paid Enron $30 million for a 75% equity interest in a power project in Poland.  Enron recognized a $16 million gain in 1999 on the sale.  Enron paid a fee to LJM2 of $750,000 as an equity placement fee.  In March 2000, Enron repurchased 25% of the equity in the Polish power project from LJM2 for approximately $10.6 million, and Whitewing Associates, L.P., an Enron unconsolidated affiliate, acquired the remaining 50% from LJM2 for $21.3 million.  Enron and Whitewing still own their respective equity interests.</w:t>
      </w:r>
    </w:p>
    <w:p>
      <w:pPr>
        <w:pStyle w:val="WCPLeftIndent2"/>
        <w:rPr/>
      </w:pPr>
      <w:r>
        <w:rPr/>
      </w:r>
    </w:p>
    <w:p>
      <w:pPr>
        <w:pStyle w:val="WCPLeftIndent2"/>
        <w:rPr/>
      </w:pPr>
      <w:r>
        <w:rPr/>
        <w:t>Also,  in December 1999, LJM2 acquired a 90% equity interest in an Enron entity ownership rights to certain natural gas reserves for approximately $3.0 million.  As a result, Enron recognized approximately $1 million in mark-to-market income from an existing commodity contract.  Subsequently, LJM2 assigned a portion of its ownership interest in the entity to Enron and Whitewing at no cost for tax efficiencies.  Enron believes LJM continues to own its remaining interest.</w:t>
      </w:r>
    </w:p>
    <w:p>
      <w:pPr>
        <w:pStyle w:val="WCPLeftIndent2"/>
        <w:rPr/>
      </w:pPr>
      <w:r>
        <w:rPr/>
      </w:r>
    </w:p>
    <w:p>
      <w:pPr>
        <w:pStyle w:val="WCPLeftIndent2"/>
        <w:rPr/>
      </w:pPr>
      <w:r>
        <w:rPr>
          <w:i/>
        </w:rPr>
        <w:t>Portfolio SPEs</w:t>
      </w:r>
      <w:r>
        <w:rPr/>
        <w:t xml:space="preserve">.   Enron and LJM established a series of SPEs in order to mitigate market exposures on Enron investments, including investments in NPW, Rhythms NetConnections, Inc., and other technology, energy, and energy-related companies.   LJM made $191 million in equity investments in five separate SPEs, three of which (Raptors I, II and IV) were also capitalized with Enron stock and derivatives which require the future delivery of Enron stock.  Raptor III was capitalized with an economic interest in warrants convertible into stock of NPW.  The fifth SPE was discussed above in Section 4B.  Enron subsequently engaged in derivative transactions with these SPEs, which included price swap derivatives, call options, and put options.  The derivatives and options were intended to mitigate Enron’s risk in certain investments of a notional amount of approximately $1.9 billion.  </w:t>
      </w:r>
    </w:p>
    <w:p>
      <w:pPr>
        <w:pStyle w:val="WCPLeftIndent2"/>
        <w:rPr/>
      </w:pPr>
      <w:r>
        <w:rPr/>
      </w:r>
    </w:p>
    <w:p>
      <w:pPr>
        <w:pStyle w:val="WCPLeftIndent2"/>
        <w:rPr/>
      </w:pPr>
      <w:r>
        <w:rPr/>
        <w:t xml:space="preserve">In March 2000, Enron settled the open derivative positions with LJM1 that had been used to mitigate Enron’s exposure arising from an investment in the stock of Rhythms NetConnections, Inc.  With respect to the other four entities—the Raptor SPEs—Enron acquired LJM2’s equity in the SPEs during the third quarter of 2001.  Enron recognized pre-tax earnings (losses) relating to risk mitigation activities of approximately $119 million, $518 million and ($166.2) million in 1999, 2000 and 2001, respectively, including the effect of $711 million pre-tax charge reorganized in 2001, related to the unwinding of the Raptor SPEs.  During 2000 and the six months ended June 30, 2001, the Raptor SPEs [hedged] losses of $518 million and $545 million, respectively.  The fifth SPE did not have sufficient equity capital to qualify for unconsolidated treatment.  See Section 4B for discussion on restatement related to the fifth SPE.  As noted above, following that acquisition, Enron recognized a $711 million pre-tax charge to earnings and a direct reduction in shareholders’ equity of approximately $1.2 billion.  LJM1 and LJM2 invested approximately $xx and received approximately $315 million (an estimated $91 million of which is non-cash value from the receipt of approximately 3.6 shares of Enron restricted stock.) related to their investments in these five SPEs (including a $35 million payment from Enron for Enron’s purchase of LJM2’s equity in the four Raptor SPEs).     </w:t>
      </w:r>
    </w:p>
    <w:p>
      <w:pPr>
        <w:pStyle w:val="WCPLeftIndent2"/>
        <w:rPr/>
      </w:pPr>
      <w:r>
        <w:rPr/>
      </w:r>
    </w:p>
    <w:p>
      <w:pPr>
        <w:pStyle w:val="WCPLeftIndent2"/>
        <w:rPr/>
      </w:pPr>
      <w:r>
        <w:rPr>
          <w:i/>
        </w:rPr>
        <w:t>Call Option</w:t>
      </w:r>
      <w:r>
        <w:rPr/>
        <w:t xml:space="preserve">.  In May 2000, Enron purchased a call option from LJM2 on two gas turbines at the same time that LJM2 contracted to purchase the gas turbines from the manufacturer.  Enron paid LJM2 approximately $1.17 million for this right during a seven-month period in 2000.  The call option gave Enron the ability to acquire these turbines from LJM2 at LJM2’s cost, which was $11.3 million.    The call option was subsequently assigned from Enron to an Enron-sponsored SPE capitalized by a third-party financial institution.  In December 2000, the call option was exercised by the SPE and it acquired the turbines from LJM2.  </w:t>
      </w:r>
    </w:p>
    <w:p>
      <w:pPr>
        <w:pStyle w:val="WCPLeftIndent2"/>
        <w:rPr/>
      </w:pPr>
      <w:r>
        <w:rPr/>
      </w:r>
    </w:p>
    <w:p>
      <w:pPr>
        <w:pStyle w:val="WCPLeftIndent2"/>
        <w:rPr/>
      </w:pPr>
      <w:r>
        <w:rPr>
          <w:i/>
        </w:rPr>
        <w:t>Transactions with LJM and Other Entities.</w:t>
      </w:r>
      <w:r>
        <w:rPr/>
        <w:t xml:space="preserve">  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approximately $3.5 million.  Subsequently, upon the execution of an engineering, procurement and construction contract with a wholly-owned subsidiary of Enron, the utility assigned the contractual right to acquire the gas turbine to that subsidiary.  </w:t>
      </w:r>
    </w:p>
    <w:p>
      <w:pPr>
        <w:pStyle w:val="WCPLeftIndent2"/>
        <w:rPr/>
      </w:pPr>
      <w:r>
        <w:rPr/>
      </w:r>
    </w:p>
    <w:p>
      <w:pPr>
        <w:pStyle w:val="WCPLeftIndent2"/>
        <w:rPr/>
      </w:pPr>
      <w:r>
        <w:rPr/>
        <w:t>In December 1999, Enron sold an equity investment in Enron Nigeria Barge Ltd. to an investment bank and provided seller financing.  In June of 2000, LJM2 purchased this equity investment directly from the investment bank for approximately $7.5 million and the assumption of the seller-financed note from Enron.  In September 2000, LJM2 sold the equity investment to an industry participant for approximately $31.2 million.  The proceeds from LJM2’s sale were used by LJM2 to repay the principal and interest on the note from Enron in the amount of approximately $23.0 million.  The remaining $8.2 million was used to pay the $7.5 million purchase price, yielding a profit of approximately $700,000 to LJM2.</w:t>
      </w:r>
    </w:p>
    <w:p>
      <w:pPr>
        <w:pStyle w:val="WCPLeftIndent2"/>
        <w:rPr/>
      </w:pPr>
      <w:r>
        <w:rPr/>
      </w:r>
    </w:p>
    <w:p>
      <w:pPr>
        <w:pStyle w:val="WCPLeftIndent2"/>
        <w:rPr/>
      </w:pPr>
      <w:r>
        <w:rPr>
          <w:i/>
        </w:rPr>
        <w:t xml:space="preserve">Transactions between LJM and Whitewing.  </w:t>
      </w:r>
      <w:r>
        <w:rPr/>
        <w:t xml:space="preserve">In December 1999, a wholly-owned subsidiary of Whitewing Associates, an unconsolidated equity affiliate of Enron, discussed above, </w:t>
      </w:r>
    </w:p>
    <w:p>
      <w:pPr>
        <w:pStyle w:val="WCPLeftIndent2"/>
        <w:rPr/>
      </w:pPr>
      <w:r>
        <w:rPr/>
        <w:t>entered into a $38.5 million credit agreement with LJM2, the borrower. The loan had a term of one year and carried an interest rate of LIBOR+2.5%.  The loan amount (including interest) of $40.3 million was repaid by LJM2 in 2000.</w:t>
      </w:r>
    </w:p>
    <w:p>
      <w:pPr>
        <w:pStyle w:val="WCPLeftIndent2"/>
        <w:rPr/>
      </w:pPr>
      <w:r>
        <w:rPr/>
      </w:r>
    </w:p>
    <w:p>
      <w:pPr>
        <w:pStyle w:val="WCPLeftIndent2"/>
        <w:rPr/>
      </w:pPr>
      <w:r>
        <w:rPr>
          <w:i/>
        </w:rPr>
        <w:t>Currently Outstanding LJM2 Transactions</w:t>
      </w:r>
      <w:r>
        <w:rPr/>
        <w:t xml:space="preserve">.  Enron believes that LJM2 currently has interests in six of the investments described above.   Enron believes that LJM2’s total investment was approximately $124 million and that LJM2 has since received cash inflows of approximately $27 million from inception through November 6, 2001.  These investments include $26 million in equity in three Enron-sponsored SPEs involved in asset-backed securitizations, $32.5 million in equity in Osprey Trust, Enron’s partner in Whitewing Associates, and $50.7 million in direct equity investments in New Power Holdings.  With respect to these transactions, LJM2 receives a 16% yield on a $10 million investment (which is the same return a third-party investor would receive), a LIBOR+7% return on a $12.5 million investment (also the same return a third-party investor would receive), and a 25% yield on a $3 million investment.  LJM2 receives a 12.75% yield on its $32.5 million investment in Osprey.  The remaining $50.7 million is in the form of a direct and an indirect equity ownership in stock of NPW, which Enron believes LJM2 has an unrecognized loss of approximately $46 million.  </w:t>
      </w:r>
    </w:p>
    <w:p>
      <w:pPr>
        <w:pStyle w:val="WCPLeftIndent2"/>
        <w:rPr/>
      </w:pPr>
      <w:r>
        <w:rPr/>
      </w:r>
    </w:p>
    <w:p>
      <w:pPr>
        <w:pStyle w:val="WCPLeftIndent2"/>
        <w:rPr/>
      </w:pPr>
      <w:r>
        <w:rPr/>
        <w:t>Enron and LJM2 have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WCPLeftIndent2"/>
        <w:rPr/>
      </w:pPr>
      <w:r>
        <w:rPr/>
      </w:r>
    </w:p>
    <w:p>
      <w:pPr>
        <w:pStyle w:val="WCPLeftIndent2"/>
        <w:tabs>
          <w:tab w:val="left" w:pos="720" w:leader="none"/>
        </w:tabs>
        <w:rPr/>
      </w:pPr>
      <w:r>
        <w:rPr/>
        <w:t xml:space="preserve">6.   </w:t>
        <w:tab/>
      </w:r>
      <w:r>
        <w:rPr>
          <w:u w:val="single"/>
        </w:rPr>
        <w:t>Other Arrangements</w:t>
      </w:r>
    </w:p>
    <w:p>
      <w:pPr>
        <w:pStyle w:val="WCPLeftIndent2"/>
        <w:rPr/>
      </w:pPr>
      <w:r>
        <w:rPr/>
        <w:t>Like many other companies involved in trade and finance, Enron (through affiliates, subsidiaries, and SPEs) routinely engages in financing arrangements with third-party financial institutions, including commercial banks, investment banks and institutional investors, to fund acquisitions of assets or businesses, project development activities, and similar business arrangements.  These activities are transacted with third parties using structures similar in some respects to the arrangements entered into with LJM.  Enron provides credit support to the creditors of SPEs through the use of financial guarantee and total return swaps.  Total return swaps are a form of financial instrument that transfer certain risks associated with securitized assets to the swap counterparty.  The payment of fees to third-party financial institutions and institutional investors, such as debt and equity placement fees, and structuring fees, is common in debt and equity syndications.</w:t>
      </w:r>
    </w:p>
    <w:p>
      <w:pPr>
        <w:pStyle w:val="WCPLeftIndent2"/>
        <w:rPr/>
      </w:pPr>
      <w:r>
        <w:rPr/>
      </w:r>
    </w:p>
    <w:p>
      <w:pPr>
        <w:pStyle w:val="WCPLeftIndent2"/>
        <w:rPr/>
      </w:pPr>
      <w:r>
        <w:rPr/>
        <w:t xml:space="preserve">7.  </w:t>
      </w:r>
      <w:r>
        <w:rPr>
          <w:u w:val="single"/>
        </w:rPr>
        <w:t>Other Relationships</w:t>
      </w:r>
    </w:p>
    <w:p>
      <w:pPr>
        <w:pStyle w:val="WCPLeftIndent2"/>
        <w:rPr/>
      </w:pPr>
      <w:r>
        <w:rPr/>
        <w:t>From June 1993 through November 1997, an Enron subsidiary was the general partner of  JEDI and a third-party, the California Public Employees’ Retirement System (“CalPERS”), was the limited partner.  In November 1997, JEDI made a liquidating distribution to CalPERS of approximately $383 million.  Concurrently, Chewco Investments, L.P. (“Chewco”) purchased a limited partnership interest in JEDI for approximately $383 million, approximately $132 million of  which was financed by an interest-bearing loan from JEDI to Chewco, and approximately $240 million of which was borrowed from a third-party financial institution (supported by a guarantee from Enron).  Based on current information, a non-executive officer of an Enron division, Michael J. Kopper, was an equity investor in the general partner of Chewco and, at the time of the purchase, also was the manager of the Chewco general partner.</w:t>
      </w:r>
    </w:p>
    <w:p>
      <w:pPr>
        <w:pStyle w:val="WCPLeftIndent2"/>
        <w:rPr/>
      </w:pPr>
      <w:r>
        <w:rPr/>
      </w:r>
    </w:p>
    <w:p>
      <w:pPr>
        <w:pStyle w:val="WCPLeftIndent2"/>
        <w:rPr/>
      </w:pPr>
      <w:r>
        <w:rPr/>
        <w:t xml:space="preserve">From December 1997 to December 2000, Chewco received distributions of $433 million from JEDI.  Among other things, Chewco used a portion of these distributions to make repayments on its JEDI loan and to repay an additional borrowing from the third-party financial institution.  </w:t>
      </w:r>
    </w:p>
    <w:p>
      <w:pPr>
        <w:pStyle w:val="WCPLeftIndent2"/>
        <w:rPr/>
      </w:pPr>
      <w:r>
        <w:rPr/>
      </w:r>
    </w:p>
    <w:p>
      <w:pPr>
        <w:pStyle w:val="WCPLeftIndent2"/>
        <w:rPr/>
      </w:pPr>
      <w:r>
        <w:rPr/>
        <w:t>In December 1999, Chewco purchased a $15 million equity interest in Osprey Trust, an Enron-sponsored SPE, from LJM1.</w:t>
      </w:r>
    </w:p>
    <w:p>
      <w:pPr>
        <w:pStyle w:val="WCPLeftIndent2"/>
        <w:rPr/>
      </w:pPr>
      <w:r>
        <w:rPr/>
      </w:r>
    </w:p>
    <w:p>
      <w:pPr>
        <w:pStyle w:val="WCPLeftIndent2"/>
        <w:rPr/>
      </w:pPr>
      <w:r>
        <w:rPr/>
        <w:t xml:space="preserve">In March 2001, Enron purchased Chewco’s limited partnership interest in JEDI for approximately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     </w:t>
      </w:r>
    </w:p>
    <w:p>
      <w:pPr>
        <w:pStyle w:val="WCPLeftIndent2"/>
        <w:rPr/>
      </w:pPr>
      <w:r>
        <w:rPr/>
      </w:r>
    </w:p>
    <w:p>
      <w:pPr>
        <w:pStyle w:val="Normal"/>
        <w:spacing w:lineRule="auto" w:line="480"/>
        <w:rPr/>
      </w:pPr>
      <w:r>
        <w:rPr/>
        <w:t>Enron now believes that Mr. Kopper also was the controlling partner of a limited partnership that (through another limited partnership) in March 2000 purchased interests in affiliated subsidiaries of LJM1.  Enron also now believes that four of the six limited partners of the purchaser were, at the time of the investment, non-executive officers or employees of Enron, and a fifth limited partner was an entity associated with Mr. Fastow.  These officers and employees, and their most recent title with Enron, were Ben Glisan, Treasurer of Enron Corp.; Kristina Mordaunt, Managing Director and General Counsel of an Enron division; Kathy Lynn; and Ann Yeager.  Mr. Glisan and Ms. Mordaunt are currently on leaves of absence from Enron.  Ms Lynn, who had been a Vice President of an Enron Division, and Ms. Yeager, who had been an employee of Enron, are no longer associated with Enron and Enron believes that they are now associated with LJM.  At the time these individuals invested in the limited partnership that Enron believes was controlled by Mr. Kopper, LJM1 had ceased entering into new transactions with Enron; however, some pre-existing investment involving LJM1 and Enron were still in process, and Enron believes that these investments resulted in distributions or payments to LJM1 and to the limited partnership in which these individuals invested.</w:t>
      </w:r>
    </w:p>
    <w:p>
      <w:pPr>
        <w:pStyle w:val="Normal"/>
        <w:spacing w:lineRule="auto" w:line="480"/>
        <w:rPr/>
      </w:pPr>
      <w:r>
        <w:rPr/>
      </w:r>
    </w:p>
    <w:p>
      <w:pPr>
        <w:pStyle w:val="WCPLeftIndent2"/>
        <w:rPr/>
      </w:pPr>
      <w:r>
        <w:rPr/>
        <w:t>Pursuant to a services agreement among Enron, LJM1, and LJM2, Enron made available to LJM1 and LJM2 a portion of the time of certain of its employees to provide administrative assistance to the general partner of LJM1 and LJM2.   Mr. Kopper, Ms. Lynn and Ms. Yeager were the senior individuals made available to LJM1 or LJM2 from time to time during their employment by Enron.</w:t>
      </w:r>
    </w:p>
    <w:p>
      <w:pPr>
        <w:pStyle w:val="WCPLeftIndent2"/>
        <w:rPr/>
      </w:pPr>
      <w:r>
        <w:rPr/>
      </w:r>
    </w:p>
    <w:p>
      <w:pPr>
        <w:pStyle w:val="WCPLeftIndent2"/>
        <w:rPr/>
      </w:pPr>
      <w:r>
        <w:rPr/>
        <w:t>This press release includes forward 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success in marketing natural gas and power to wholesale customers; the ability to penetrate new retail natural gas and electricity markets, including the energy outsource market, in the United States and Europe; the timing, extent and market effects of deregulation of energy markets in the United States and in foreign jurisdictions; development of Enron’s broadband network and customer demand for intermediation and content services; and conditions of the capital markets and equity markets during the periods covered by the forward looking statements.</w:t>
      </w:r>
    </w:p>
    <w:p>
      <w:pPr>
        <w:pStyle w:val="Normal"/>
        <w:spacing w:lineRule="auto" w:line="480"/>
        <w:rPr/>
      </w:pPr>
      <w:r>
        <w:rPr/>
      </w:r>
    </w:p>
    <w:p>
      <w:pPr>
        <w:pStyle w:val="Normal"/>
        <w:spacing w:lineRule="auto" w:line="480"/>
        <w:jc w:val="center"/>
        <w:rPr/>
      </w:pPr>
      <w:r>
        <w:rPr/>
        <w:t>[ADD SAFE HARBOR STATEMENT]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/mnt/main-storage/datasets/enron-docs/doc/SEC_response_11_7.doc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Privileged and Confidential</w:t>
    </w:r>
  </w:p>
  <w:p>
    <w:pPr>
      <w:pStyle w:val="Header"/>
      <w:jc w:val="end"/>
      <w:rPr>
        <w:b/>
        <w:smallCaps/>
      </w:rPr>
    </w:pPr>
    <w:r>
      <w:rPr>
        <w:b/>
        <w:smallCaps/>
      </w:rPr>
      <w:t>Attorney Work Product</w:t>
    </w:r>
  </w:p>
  <w:p>
    <w:pPr>
      <w:pStyle w:val="Header"/>
      <w:jc w:val="end"/>
      <w:rPr>
        <w:b/>
        <w:smallCaps/>
      </w:rPr>
    </w:pPr>
    <w:r>
      <w:rPr>
        <w:b/>
        <w:smallCaps/>
      </w:rPr>
      <w:t>DRAFT - 11/7/01 – 7:00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1">
      <w:start w:val="1"/>
      <w:pStyle w:val="Heading2"/>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2">
      <w:start w:val="1"/>
      <w:pStyle w:val="Heading3"/>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3">
      <w:start w:val="1"/>
      <w:pStyle w:val="Heading4"/>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pStyle w:val="Heading5"/>
      <w:numFmt w:val="decimal"/>
      <w:lvlText w:val="(%5)"/>
      <w:lvlJc w:val="start"/>
      <w:pPr>
        <w:tabs>
          <w:tab w:val="num" w:pos="3600"/>
        </w:tabs>
        <w:ind w:start="360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5">
      <w:start w:val="1"/>
      <w:pStyle w:val="Heading6"/>
      <w:numFmt w:val="lowerLetter"/>
      <w:lvlText w:val="(%6)"/>
      <w:lvlJc w:val="start"/>
      <w:pPr>
        <w:tabs>
          <w:tab w:val="num" w:pos="4320"/>
        </w:tabs>
        <w:ind w:start="432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6">
      <w:start w:val="1"/>
      <w:pStyle w:val="Heading7"/>
      <w:numFmt w:val="lowerRoman"/>
      <w:lvlText w:val="(%7)"/>
      <w:lvlJc w:val="start"/>
      <w:pPr>
        <w:tabs>
          <w:tab w:val="num" w:pos="5040"/>
        </w:tabs>
        <w:ind w:start="504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7">
      <w:start w:val="1"/>
      <w:pStyle w:val="Heading8"/>
      <w:numFmt w:val="lowerLetter"/>
      <w:lvlText w:val="(%8)"/>
      <w:lvlJc w:val="start"/>
      <w:pPr>
        <w:tabs>
          <w:tab w:val="num" w:pos="5760"/>
        </w:tabs>
        <w:ind w:start="576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8">
      <w:start w:val="1"/>
      <w:pStyle w:val="Heading9"/>
      <w:numFmt w:val="lowerRoman"/>
      <w:lvlText w:val="(%9)"/>
      <w:lvlJc w:val="start"/>
      <w:pPr>
        <w:tabs>
          <w:tab w:val="num" w:pos="6480"/>
        </w:tabs>
        <w:ind w:start="648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abstractNum>
  <w:abstractNum w:abstractNumId="2">
    <w:lvl w:ilvl="0">
      <w:start w:val="1"/>
      <w:numFmt w:val="decimal"/>
      <w:lvlText w:val="%1."/>
      <w:lvlJc w:val="start"/>
      <w:pPr>
        <w:tabs>
          <w:tab w:val="num" w:pos="720"/>
        </w:tabs>
        <w:ind w:start="720" w:hanging="3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abstractNum>
  <w:abstractNum w:abstractNumId="3">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abstractNum>
  <w:abstractNum w:abstractNumId="4">
    <w:lvl w:ilvl="0">
      <w:start w:val="1"/>
      <w:numFmt w:val="bullet"/>
      <w:lvlText w:val=""/>
      <w:lvlJc w:val="start"/>
      <w:pPr>
        <w:tabs>
          <w:tab w:val="num" w:pos="1080"/>
        </w:tabs>
        <w:ind w:start="1080" w:hanging="360"/>
      </w:pPr>
      <w:rPr>
        <w:rFonts w:ascii="Symbol" w:hAnsi="Symbol" w:cs="Symbol" w:hint="default"/>
        <w:smallCaps w:val="false"/>
        <w:caps w:val="false"/>
        <w:outline w:val="false"/>
        <w:dstrike w:val="false"/>
        <w:strike w:val="false"/>
        <w:vertAlign w:val="baseline"/>
        <w:position w:val="0"/>
        <w:sz w:val="24"/>
        <w:shadow w:val="false"/>
        <w:vanish w:val="false"/>
      </w:rPr>
    </w:lvl>
  </w:abstractNum>
  <w:abstractNum w:abstractNumId="5">
    <w:lvl w:ilvl="0">
      <w:start w:val="4"/>
      <w:numFmt w:val="upperLetter"/>
      <w:lvlText w:val="%1."/>
      <w:lvlJc w:val="start"/>
      <w:pPr>
        <w:tabs>
          <w:tab w:val="num" w:pos="1440"/>
        </w:tabs>
        <w:ind w:start="1440" w:hanging="720"/>
      </w:pPr>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Symbol" w:hAnsi="Symbol" w:cs="Symbol" w:hint="default"/>
        <w:smallCaps w:val="false"/>
        <w:caps w:val="false"/>
        <w:outline w:val="false"/>
        <w:dstrike w:val="false"/>
        <w:strike w:val="false"/>
        <w:vertAlign w:val="baseline"/>
        <w:position w:val="0"/>
        <w:sz w:val="24"/>
        <w:shadow w:val="false"/>
        <w:vanish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bCs/>
      <w:kern w:val="2"/>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tabs>
        <w:tab w:val="clear" w:pos="720"/>
        <w:tab w:val="left" w:pos="1170" w:leader="none"/>
      </w:tabs>
      <w:spacing w:before="0" w:after="240"/>
      <w:outlineLvl w:val="2"/>
    </w:pPr>
    <w:rPr/>
  </w:style>
  <w:style w:type="paragraph" w:styleId="Heading4">
    <w:name w:val="heading 4"/>
    <w:basedOn w:val="Normal"/>
    <w:next w:val="BodyText"/>
    <w:qFormat/>
    <w:pPr>
      <w:numPr>
        <w:ilvl w:val="3"/>
        <w:numId w:val="1"/>
      </w:numPr>
      <w:spacing w:before="0" w:after="120"/>
      <w:outlineLvl w:val="3"/>
    </w:pPr>
    <w:rPr/>
  </w:style>
  <w:style w:type="paragraph" w:styleId="Heading5">
    <w:name w:val="heading 5"/>
    <w:basedOn w:val="Normal"/>
    <w:next w:val="BodyText"/>
    <w:qFormat/>
    <w:pPr>
      <w:numPr>
        <w:ilvl w:val="4"/>
        <w:numId w:val="1"/>
      </w:numPr>
      <w:spacing w:before="0" w:after="120"/>
      <w:outlineLvl w:val="4"/>
    </w:pPr>
    <w:rPr/>
  </w:style>
  <w:style w:type="paragraph" w:styleId="Heading6">
    <w:name w:val="heading 6"/>
    <w:basedOn w:val="Normal"/>
    <w:next w:val="BodyText"/>
    <w:qFormat/>
    <w:pPr>
      <w:numPr>
        <w:ilvl w:val="5"/>
        <w:numId w:val="1"/>
      </w:numPr>
      <w:spacing w:before="0" w:after="120"/>
      <w:outlineLvl w:val="5"/>
    </w:pPr>
    <w:rPr>
      <w:iCs/>
    </w:rPr>
  </w:style>
  <w:style w:type="paragraph" w:styleId="Heading7">
    <w:name w:val="heading 7"/>
    <w:basedOn w:val="Normal"/>
    <w:next w:val="BodyText"/>
    <w:qFormat/>
    <w:pPr>
      <w:numPr>
        <w:ilvl w:val="6"/>
        <w:numId w:val="1"/>
      </w:numPr>
      <w:spacing w:before="0" w:after="120"/>
      <w:outlineLvl w:val="6"/>
    </w:pPr>
    <w:rPr/>
  </w:style>
  <w:style w:type="paragraph" w:styleId="Heading8">
    <w:name w:val="heading 8"/>
    <w:basedOn w:val="Normal"/>
    <w:next w:val="BodyText"/>
    <w:qFormat/>
    <w:pPr>
      <w:numPr>
        <w:ilvl w:val="7"/>
        <w:numId w:val="1"/>
      </w:numPr>
      <w:spacing w:before="0" w:after="120"/>
      <w:outlineLvl w:val="7"/>
    </w:pPr>
    <w:rPr>
      <w:iCs/>
    </w:rPr>
  </w:style>
  <w:style w:type="paragraph" w:styleId="Heading9">
    <w:name w:val="heading 9"/>
    <w:basedOn w:val="Normal"/>
    <w:next w:val="BodyText"/>
    <w:qFormat/>
    <w:pPr>
      <w:numPr>
        <w:ilvl w:val="8"/>
        <w:numId w:val="1"/>
      </w:numPr>
      <w:spacing w:before="0" w:after="120"/>
      <w:outlineLvl w:val="8"/>
    </w:pPr>
    <w:rPr>
      <w:bCs/>
      <w:iCs/>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0z0">
    <w:name w:val="WW8Num10z0"/>
    <w:qFormat/>
    <w:rPr>
      <w:rFonts w:ascii="Symbol" w:hAnsi="Symbol" w:cs="Symbol"/>
    </w:rPr>
  </w:style>
  <w:style w:type="character" w:styleId="WW8Num11z0">
    <w:name w:val="WW8Num11z0"/>
    <w:qFormat/>
    <w:rPr>
      <w:rFonts w:ascii="Symbol" w:hAnsi="Symbol" w:cs="Symbol"/>
      <w:caps w:val="false"/>
      <w:smallCaps w:val="false"/>
      <w:strike w:val="false"/>
      <w:dstrike w:val="false"/>
      <w:outline w:val="false"/>
      <w:shadow w:val="false"/>
      <w:vanish w:val="false"/>
      <w:position w:val="0"/>
      <w:sz w:val="24"/>
      <w:vertAlign w:val="baseline"/>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Times New Roman" w:hAnsi="Times New Roman" w:cs="Times New Roman"/>
      <w:caps w:val="false"/>
      <w:smallCaps w:val="false"/>
      <w:strike w:val="false"/>
      <w:dstrike w:val="false"/>
      <w:outline w:val="false"/>
      <w:shadow w:val="false"/>
      <w:vanish w:val="false"/>
      <w:color w:val="000000"/>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0">
    <w:name w:val="WW8Num14z0"/>
    <w:qFormat/>
    <w:rPr>
      <w:rFonts w:ascii="Wingdings" w:hAnsi="Wingdings" w:cs="Wingdings"/>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1">
    <w:name w:val="WW8Num14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Times New Roman" w:hAnsi="Times New Roman" w:cs="Times New Roman"/>
    </w:rPr>
  </w:style>
  <w:style w:type="character" w:styleId="WW8Num20z0">
    <w:name w:val="WW8Num20z0"/>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caps w:val="false"/>
      <w:smallCaps w:val="false"/>
      <w:strike w:val="false"/>
      <w:dstrike w:val="false"/>
      <w:outline w:val="false"/>
      <w:shadow w:val="false"/>
      <w:vanish w:val="false"/>
      <w:position w:val="0"/>
      <w:sz w:val="24"/>
      <w:vertAlign w:val="baseline"/>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DefaultParagraphFont">
    <w:name w:val="Default Paragraph Font"/>
    <w:qFormat/>
    <w:rPr/>
  </w:style>
  <w:style w:type="character" w:styleId="HiddenText">
    <w:name w:val="Hidden Text"/>
    <w:basedOn w:val="DefaultParagraphFont"/>
    <w:qFormat/>
    <w:rPr>
      <w:vanish/>
      <w:color w:val="0000FF"/>
    </w:rPr>
  </w:style>
  <w:style w:type="character" w:styleId="FootnoteCharacters">
    <w:name w:val="Footnote Characters"/>
    <w:basedOn w:val="DefaultParagraphFont"/>
    <w:qFormat/>
    <w:rPr>
      <w:strike w:val="false"/>
      <w:dstrike w:val="false"/>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WCPBodyIndentDouble">
    <w:name w:val="WCP_Body Indent Double"/>
    <w:basedOn w:val="Normal"/>
    <w:qFormat/>
    <w:pPr>
      <w:spacing w:lineRule="auto" w:line="480"/>
      <w:ind w:firstLine="720" w:start="0" w:end="0"/>
    </w:pPr>
    <w:rPr/>
  </w:style>
  <w:style w:type="paragraph" w:styleId="WCPBodyIndent">
    <w:name w:val="WCP_Body Indent"/>
    <w:basedOn w:val="Normal"/>
    <w:qFormat/>
    <w:pPr>
      <w:spacing w:before="0" w:after="240"/>
      <w:ind w:firstLine="720" w:start="0" w:end="0"/>
    </w:pPr>
    <w:rPr/>
  </w:style>
  <w:style w:type="paragraph" w:styleId="WCPBulletDouble">
    <w:name w:val="WCP_Bullet Double"/>
    <w:basedOn w:val="Normal"/>
    <w:qFormat/>
    <w:pPr>
      <w:numPr>
        <w:ilvl w:val="0"/>
        <w:numId w:val="7"/>
      </w:numPr>
      <w:tabs>
        <w:tab w:val="clear" w:pos="720"/>
        <w:tab w:val="left" w:pos="1440" w:leader="none"/>
      </w:tabs>
      <w:spacing w:lineRule="auto" w:line="480" w:before="0" w:after="240"/>
    </w:pPr>
    <w:rPr/>
  </w:style>
  <w:style w:type="paragraph" w:styleId="WCPBullet">
    <w:name w:val="WCP_Bullet"/>
    <w:basedOn w:val="Normal"/>
    <w:qFormat/>
    <w:pPr>
      <w:numPr>
        <w:ilvl w:val="0"/>
        <w:numId w:val="4"/>
      </w:numPr>
      <w:tabs>
        <w:tab w:val="clear" w:pos="720"/>
        <w:tab w:val="left" w:pos="1440" w:leader="none"/>
      </w:tabs>
      <w:spacing w:before="0" w:after="240"/>
    </w:pPr>
    <w:rPr/>
  </w:style>
  <w:style w:type="paragraph" w:styleId="WCPLeftIndent">
    <w:name w:val="WCP_LeftIndent"/>
    <w:basedOn w:val="Normal"/>
    <w:qFormat/>
    <w:pPr>
      <w:spacing w:before="0" w:after="240"/>
    </w:pPr>
    <w:rPr/>
  </w:style>
  <w:style w:type="paragraph" w:styleId="WCPLeftIndent2">
    <w:name w:val="WCP_LeftIndent2"/>
    <w:basedOn w:val="Normal"/>
    <w:qFormat/>
    <w:pPr>
      <w:spacing w:lineRule="auto" w:line="480"/>
    </w:pPr>
    <w:rPr/>
  </w:style>
  <w:style w:type="paragraph" w:styleId="WCPListContinue2">
    <w:name w:val="WCP_List Continue 2"/>
    <w:basedOn w:val="Normal"/>
    <w:qFormat/>
    <w:pPr>
      <w:spacing w:before="0" w:after="240"/>
      <w:ind w:hanging="0" w:start="720" w:end="0"/>
    </w:pPr>
    <w:rPr/>
  </w:style>
  <w:style w:type="paragraph" w:styleId="WCPListContinue">
    <w:name w:val="WCP_List Continue"/>
    <w:basedOn w:val="Normal"/>
    <w:qFormat/>
    <w:pPr>
      <w:spacing w:before="0" w:after="240"/>
      <w:ind w:hanging="0" w:start="360" w:end="0"/>
    </w:pPr>
    <w:rPr/>
  </w:style>
  <w:style w:type="paragraph" w:styleId="WCPListNumber">
    <w:name w:val="WCP_List Number"/>
    <w:basedOn w:val="Normal"/>
    <w:qFormat/>
    <w:pPr>
      <w:numPr>
        <w:ilvl w:val="0"/>
        <w:numId w:val="3"/>
      </w:numPr>
      <w:spacing w:before="0" w:after="240"/>
    </w:pPr>
    <w:rPr/>
  </w:style>
  <w:style w:type="paragraph" w:styleId="WCPListNumber2">
    <w:name w:val="WCP_List Number2"/>
    <w:basedOn w:val="Normal"/>
    <w:qFormat/>
    <w:pPr>
      <w:numPr>
        <w:ilvl w:val="0"/>
        <w:numId w:val="2"/>
      </w:numPr>
      <w:spacing w:before="0" w:after="240"/>
    </w:pPr>
    <w:rPr/>
  </w:style>
  <w:style w:type="paragraph" w:styleId="WCPQuote">
    <w:name w:val="WCP_Quote"/>
    <w:basedOn w:val="Normal"/>
    <w:qFormat/>
    <w:pPr>
      <w:spacing w:before="0" w:after="240"/>
      <w:ind w:hanging="0" w:start="1440" w:end="1440"/>
      <w:jc w:val="both"/>
    </w:pPr>
    <w:rPr/>
  </w:style>
  <w:style w:type="paragraph" w:styleId="WCPReLine">
    <w:name w:val="WCP_ReLine"/>
    <w:basedOn w:val="Normal"/>
    <w:qFormat/>
    <w:pPr>
      <w:spacing w:before="0" w:after="360"/>
      <w:ind w:hanging="720" w:start="720" w:end="1440"/>
    </w:pPr>
    <w:rPr/>
  </w:style>
  <w:style w:type="paragraph" w:styleId="WCPSignature">
    <w:name w:val="WCP_Signature"/>
    <w:basedOn w:val="Normal"/>
    <w:qFormat/>
    <w:pPr>
      <w:spacing w:before="0" w:after="720"/>
      <w:ind w:hanging="0" w:start="4320" w:end="0"/>
    </w:pPr>
    <w:rPr/>
  </w:style>
  <w:style w:type="paragraph" w:styleId="WCPTitle">
    <w:name w:val="WCP_Title"/>
    <w:basedOn w:val="Normal"/>
    <w:qFormat/>
    <w:pPr>
      <w:spacing w:before="240" w:after="240"/>
      <w:jc w:val="center"/>
    </w:pPr>
    <w:rPr>
      <w:b/>
      <w:kern w:val="2"/>
      <w:sz w:val="28"/>
    </w:rPr>
  </w:style>
  <w:style w:type="paragraph" w:styleId="FootnoteText">
    <w:name w:val="footnote text"/>
    <w:basedOn w:val="Normal"/>
    <w:pPr>
      <w:spacing w:before="0" w:after="240"/>
    </w:pPr>
    <w:rPr/>
  </w:style>
  <w:style w:type="paragraph" w:styleId="FootnoteIndent">
    <w:name w:val="Footnote Indent"/>
    <w:basedOn w:val="FootnoteText"/>
    <w:qFormat/>
    <w:pPr>
      <w:ind w:hanging="0" w:start="720" w:end="360"/>
    </w:pPr>
    <w:rPr/>
  </w:style>
  <w:style w:type="paragraph" w:styleId="WCPHeading1Block">
    <w:name w:val="WCP Heading 1 Block"/>
    <w:basedOn w:val="Normal"/>
    <w:qFormat/>
    <w:pPr>
      <w:spacing w:before="0" w:after="240"/>
      <w:ind w:hanging="0" w:start="720" w:end="0"/>
    </w:pPr>
    <w:rPr/>
  </w:style>
  <w:style w:type="paragraph" w:styleId="WCPHeading2Block">
    <w:name w:val="WCP Heading 2 Block"/>
    <w:basedOn w:val="Normal"/>
    <w:qFormat/>
    <w:pPr>
      <w:spacing w:before="0" w:after="240"/>
      <w:ind w:hanging="0" w:start="1440" w:end="0"/>
    </w:pPr>
    <w:rPr/>
  </w:style>
  <w:style w:type="paragraph" w:styleId="WCPHeading3Block">
    <w:name w:val="WCP Heading 3 Block"/>
    <w:basedOn w:val="Normal"/>
    <w:qFormat/>
    <w:pPr>
      <w:spacing w:before="0" w:after="240"/>
      <w:ind w:hanging="0" w:start="2160" w:end="0"/>
    </w:pPr>
    <w:rPr/>
  </w:style>
  <w:style w:type="paragraph" w:styleId="WCPHeading4Block">
    <w:name w:val="WCP Heading 4 Block"/>
    <w:basedOn w:val="Normal"/>
    <w:qFormat/>
    <w:pPr>
      <w:spacing w:before="0" w:after="240"/>
      <w:ind w:hanging="0" w:start="2880" w:end="0"/>
    </w:pPr>
    <w:rPr/>
  </w:style>
  <w:style w:type="paragraph" w:styleId="WCPHeading5Block">
    <w:name w:val="WCP Heading 5 Block"/>
    <w:basedOn w:val="Normal"/>
    <w:qFormat/>
    <w:pPr>
      <w:spacing w:before="0" w:after="240"/>
      <w:ind w:hanging="0" w:start="3600" w:end="0"/>
    </w:pPr>
    <w:rPr/>
  </w:style>
  <w:style w:type="paragraph" w:styleId="WCPHeading6Block">
    <w:name w:val="WCP Heading 6 Block"/>
    <w:basedOn w:val="Normal"/>
    <w:qFormat/>
    <w:pPr>
      <w:spacing w:before="0" w:after="240"/>
      <w:ind w:hanging="0" w:start="4320" w:end="0"/>
    </w:pPr>
    <w:rPr/>
  </w:style>
  <w:style w:type="paragraph" w:styleId="WCPHeading7Block">
    <w:name w:val="WCP Heading 7 Block"/>
    <w:basedOn w:val="Normal"/>
    <w:qFormat/>
    <w:pPr>
      <w:spacing w:before="0" w:after="240"/>
      <w:ind w:hanging="0" w:start="5040" w:end="0"/>
    </w:pPr>
    <w:rPr/>
  </w:style>
  <w:style w:type="paragraph" w:styleId="WCPHeading8Block">
    <w:name w:val="WCP Heading 8 Block"/>
    <w:basedOn w:val="Normal"/>
    <w:qFormat/>
    <w:pPr>
      <w:spacing w:before="0" w:after="240"/>
      <w:ind w:hanging="0" w:start="5760" w:end="0"/>
    </w:pPr>
    <w:rPr/>
  </w:style>
  <w:style w:type="paragraph" w:styleId="WCPHeading9Block">
    <w:name w:val="WCP Heading 9 Block"/>
    <w:basedOn w:val="Normal"/>
    <w:qFormat/>
    <w:pPr>
      <w:spacing w:before="0" w:after="240"/>
      <w:ind w:hanging="0" w:start="6480" w:end="0"/>
    </w:pPr>
    <w:rPr/>
  </w:style>
  <w:style w:type="paragraph" w:styleId="TOC2">
    <w:name w:val="toc 2"/>
    <w:basedOn w:val="Normal"/>
    <w:next w:val="Normal"/>
    <w:pPr>
      <w:ind w:hanging="0" w:start="720" w:end="0"/>
    </w:pPr>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2001-11-07T14:51:00Z</dcterms:created>
  <dc:creator>0637</dc:creator>
  <dc:description/>
  <dc:language>en-CA</dc:language>
  <cp:lastModifiedBy>kdodgen</cp:lastModifiedBy>
  <cp:lastPrinted>2001-11-07T19:45:00Z</cp:lastPrinted>
  <dcterms:modified xsi:type="dcterms:W3CDTF">2001-11-07T23:15:00Z</dcterms:modified>
  <cp:revision>34</cp:revision>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Brenner, Joseph</vt:lpwstr>
  </property>
  <property fmtid="{D5CDD505-2E9C-101B-9397-08002B2CF9AE}" pid="3" name="ClientName">
    <vt:lpwstr>BUSINESS DEVELOPMENT</vt:lpwstr>
  </property>
  <property fmtid="{D5CDD505-2E9C-101B-9397-08002B2CF9AE}" pid="4" name="ClientNumber">
    <vt:lpwstr>999980</vt:lpwstr>
  </property>
  <property fmtid="{D5CDD505-2E9C-101B-9397-08002B2CF9AE}" pid="5" name="CreatedBy">
    <vt:lpwstr>0637</vt:lpwstr>
  </property>
  <property fmtid="{D5CDD505-2E9C-101B-9397-08002B2CF9AE}" pid="6" name="CreatedByName">
    <vt:lpwstr>Brenner, Joseph</vt:lpwstr>
  </property>
  <property fmtid="{D5CDD505-2E9C-101B-9397-08002B2CF9AE}" pid="7" name="Department">
    <vt:lpwstr/>
  </property>
  <property fmtid="{D5CDD505-2E9C-101B-9397-08002B2CF9AE}" pid="8" name="DeptAbbr">
    <vt:lpwstr/>
  </property>
  <property fmtid="{D5CDD505-2E9C-101B-9397-08002B2CF9AE}" pid="9" name="DocNumber">
    <vt:lpwstr>WSTZZ19QF9V</vt:lpwstr>
  </property>
  <property fmtid="{D5CDD505-2E9C-101B-9397-08002B2CF9AE}" pid="10" name="DocumentClass">
    <vt:r8>1</vt:r8>
  </property>
  <property fmtid="{D5CDD505-2E9C-101B-9397-08002B2CF9AE}" pid="11" name="Final">
    <vt:bool>0</vt:bool>
  </property>
  <property fmtid="{D5CDD505-2E9C-101B-9397-08002B2CF9AE}" pid="12" name="MatterName">
    <vt:lpwstr>SECURITIES BUS. DEV.</vt:lpwstr>
  </property>
  <property fmtid="{D5CDD505-2E9C-101B-9397-08002B2CF9AE}" pid="13" name="MatterNumber">
    <vt:lpwstr>5001</vt:lpwstr>
  </property>
  <property fmtid="{D5CDD505-2E9C-101B-9397-08002B2CF9AE}" pid="14" name="PrintBillClient">
    <vt:lpwstr/>
  </property>
  <property fmtid="{D5CDD505-2E9C-101B-9397-08002B2CF9AE}" pid="15" name="PrintBillMatter">
    <vt:lpwstr/>
  </property>
  <property fmtid="{D5CDD505-2E9C-101B-9397-08002B2CF9AE}" pid="16" name="UnVerified">
    <vt:bool>0</vt:bool>
  </property>
  <property fmtid="{D5CDD505-2E9C-101B-9397-08002B2CF9AE}" pid="17" name="WCPDMSDataVer">
    <vt:lpwstr>1</vt:lpwstr>
  </property>
  <property fmtid="{D5CDD505-2E9C-101B-9397-08002B2CF9AE}" pid="18" name="WPDocType1">
    <vt:lpwstr/>
  </property>
  <property fmtid="{D5CDD505-2E9C-101B-9397-08002B2CF9AE}" pid="19" name="WPDocType2">
    <vt:lpwstr/>
  </property>
  <property fmtid="{D5CDD505-2E9C-101B-9397-08002B2CF9AE}" pid="20" name="WPJurisCat">
    <vt:lpwstr/>
  </property>
  <property fmtid="{D5CDD505-2E9C-101B-9397-08002B2CF9AE}" pid="21" name="WPJurisdiction">
    <vt:lpwstr/>
  </property>
  <property fmtid="{D5CDD505-2E9C-101B-9397-08002B2CF9AE}" pid="22" name="WPLitigation">
    <vt:bool>0</vt:bool>
  </property>
  <property fmtid="{D5CDD505-2E9C-101B-9397-08002B2CF9AE}" pid="23" name="WPResearch">
    <vt:bool>0</vt:bool>
  </property>
  <property fmtid="{D5CDD505-2E9C-101B-9397-08002B2CF9AE}" pid="24" name="WPSpecialCollection">
    <vt:lpwstr/>
  </property>
  <property fmtid="{D5CDD505-2E9C-101B-9397-08002B2CF9AE}" pid="25" name="WPTransaction">
    <vt:bool>0</vt:bool>
  </property>
  <property fmtid="{D5CDD505-2E9C-101B-9397-08002B2CF9AE}" pid="26" name="WorkProduct">
    <vt:bool>0</vt:bool>
  </property>
</Properties>
</file>