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761" w:type="dxa"/>
        <w:jc w:val="start"/>
        <w:tblInd w:w="1944" w:type="dxa"/>
        <w:tblLayout w:type="fixed"/>
        <w:tblCellMar>
          <w:top w:w="0" w:type="dxa"/>
          <w:start w:w="108" w:type="dxa"/>
          <w:bottom w:w="0" w:type="dxa"/>
          <w:end w:w="108" w:type="dxa"/>
        </w:tblCellMar>
      </w:tblPr>
      <w:tblGrid>
        <w:gridCol w:w="5761"/>
      </w:tblGrid>
      <w:tr>
        <w:trPr>
          <w:trHeight w:val="3440" w:hRule="exact"/>
        </w:trPr>
        <w:tc>
          <w:tcPr>
            <w:tcW w:w="5761" w:type="dxa"/>
            <w:tcBorders/>
          </w:tcPr>
          <w:p>
            <w:pPr>
              <w:pStyle w:val="Normal"/>
              <w:jc w:val="end"/>
              <w:rPr>
                <w:sz w:val="36"/>
              </w:rPr>
            </w:pPr>
            <w:r>
              <w:rPr>
                <w:sz w:val="36"/>
              </w:rPr>
              <w:t>April 2001</w:t>
            </w:r>
          </w:p>
          <w:p>
            <w:pPr>
              <w:pStyle w:val="Heading5"/>
              <w:spacing w:before="0" w:after="180"/>
              <w:ind w:hanging="0" w:start="0"/>
              <w:jc w:val="end"/>
              <w:rPr>
                <w:sz w:val="36"/>
              </w:rPr>
            </w:pPr>
            <w:r>
              <w:rPr>
                <w:sz w:val="36"/>
              </w:rPr>
              <w:t>Final Draft</w:t>
            </w:r>
          </w:p>
        </w:tc>
      </w:tr>
      <w:tr>
        <w:trPr>
          <w:trHeight w:val="1164" w:hRule="exact"/>
        </w:trPr>
        <w:tc>
          <w:tcPr>
            <w:tcW w:w="5761" w:type="dxa"/>
            <w:tcBorders/>
          </w:tcPr>
          <w:p>
            <w:pPr>
              <w:pStyle w:val="Normal"/>
              <w:snapToGrid w:val="false"/>
              <w:spacing w:before="0" w:after="180"/>
              <w:rPr>
                <w:caps/>
                <w:sz w:val="28"/>
              </w:rPr>
            </w:pPr>
            <w:r>
              <w:rPr>
                <w:caps/>
                <w:sz w:val="28"/>
              </w:rPr>
            </w:r>
            <w:bookmarkStart w:id="0" w:name="RestNote"/>
            <w:bookmarkStart w:id="1" w:name="RestNote"/>
            <w:bookmarkEnd w:id="1"/>
          </w:p>
        </w:tc>
      </w:tr>
      <w:tr>
        <w:trPr>
          <w:trHeight w:val="2649" w:hRule="atLeast"/>
        </w:trPr>
        <w:tc>
          <w:tcPr>
            <w:tcW w:w="5761" w:type="dxa"/>
            <w:tcBorders/>
          </w:tcPr>
          <w:p>
            <w:pPr>
              <w:pStyle w:val="Normal"/>
              <w:rPr>
                <w:sz w:val="48"/>
              </w:rPr>
            </w:pPr>
            <w:bookmarkStart w:id="2" w:name="TitleMcK"/>
            <w:bookmarkStart w:id="3" w:name="Title"/>
            <w:bookmarkEnd w:id="2"/>
            <w:bookmarkEnd w:id="3"/>
            <w:r>
              <w:rPr>
                <w:sz w:val="48"/>
              </w:rPr>
              <w:t>STRENGTHENING FINANCIAL MARKETS:</w:t>
            </w:r>
          </w:p>
          <w:p>
            <w:pPr>
              <w:pStyle w:val="Normal"/>
              <w:spacing w:before="0" w:after="180"/>
              <w:rPr>
                <w:sz w:val="36"/>
              </w:rPr>
            </w:pPr>
            <w:r>
              <w:rPr>
                <w:sz w:val="36"/>
              </w:rPr>
              <w:t>Do Investors Have the Information They Need?</w:t>
            </w:r>
          </w:p>
        </w:tc>
      </w:tr>
      <w:tr>
        <w:trPr>
          <w:trHeight w:val="1440" w:hRule="atLeast"/>
        </w:trPr>
        <w:tc>
          <w:tcPr>
            <w:tcW w:w="5761" w:type="dxa"/>
            <w:tcBorders/>
          </w:tcPr>
          <w:p>
            <w:pPr>
              <w:pStyle w:val="Normal"/>
              <w:snapToGrid w:val="false"/>
              <w:rPr>
                <w:i/>
                <w:i/>
                <w:iCs/>
                <w:caps/>
                <w:sz w:val="28"/>
              </w:rPr>
            </w:pPr>
            <w:r>
              <w:rPr>
                <w:i/>
                <w:iCs/>
                <w:caps/>
                <w:sz w:val="28"/>
              </w:rPr>
            </w:r>
            <w:bookmarkStart w:id="4" w:name="Client"/>
            <w:bookmarkStart w:id="5" w:name="Client"/>
            <w:bookmarkEnd w:id="5"/>
          </w:p>
          <w:p>
            <w:pPr>
              <w:pStyle w:val="Heading6"/>
              <w:spacing w:before="0" w:after="180"/>
              <w:ind w:hanging="0" w:start="0"/>
              <w:rPr>
                <w:sz w:val="32"/>
              </w:rPr>
            </w:pPr>
            <w:r>
              <w:rPr>
                <w:sz w:val="32"/>
              </w:rPr>
              <w:t>Report of an SEC-Inspired Task Force</w:t>
            </w:r>
          </w:p>
        </w:tc>
      </w:tr>
      <w:tr>
        <w:trPr/>
        <w:tc>
          <w:tcPr>
            <w:tcW w:w="5761" w:type="dxa"/>
            <w:tcBorders/>
          </w:tcPr>
          <w:p>
            <w:pPr>
              <w:pStyle w:val="Normal"/>
              <w:snapToGrid w:val="false"/>
              <w:spacing w:before="0" w:after="140"/>
              <w:rPr>
                <w:caps/>
                <w:sz w:val="28"/>
              </w:rPr>
            </w:pPr>
            <w:r>
              <w:rPr>
                <w:caps/>
                <w:sz w:val="28"/>
              </w:rPr>
            </w:r>
            <w:bookmarkStart w:id="6" w:name="Document"/>
            <w:bookmarkStart w:id="7" w:name="Document"/>
            <w:bookmarkEnd w:id="7"/>
          </w:p>
        </w:tc>
      </w:tr>
      <w:tr>
        <w:trPr/>
        <w:tc>
          <w:tcPr>
            <w:tcW w:w="5761" w:type="dxa"/>
            <w:tcBorders/>
          </w:tcPr>
          <w:p>
            <w:pPr>
              <w:pStyle w:val="Normal"/>
              <w:spacing w:before="0" w:after="180"/>
              <w:rPr>
                <w:sz w:val="28"/>
              </w:rPr>
            </w:pPr>
            <w:bookmarkStart w:id="8" w:name="Date"/>
            <w:bookmarkEnd w:id="8"/>
            <w:r>
              <w:rPr>
                <w:sz w:val="28"/>
              </w:rPr>
              <w:t>[April 9, 2001]</w:t>
            </w:r>
          </w:p>
        </w:tc>
      </w:tr>
      <w:tr>
        <w:trPr/>
        <w:tc>
          <w:tcPr>
            <w:tcW w:w="5761" w:type="dxa"/>
            <w:tcBorders/>
          </w:tcPr>
          <w:p>
            <w:pPr>
              <w:pStyle w:val="Normal"/>
              <w:spacing w:before="0" w:after="0"/>
              <w:rPr>
                <w:vanish/>
                <w:sz w:val="20"/>
              </w:rPr>
            </w:pPr>
            <w:r>
              <w:rPr>
                <w:vanish/>
                <w:color w:val="FF0000"/>
                <w:sz w:val="20"/>
              </w:rPr>
              <w:t>The disclaimer appears in the footer.  This text will not print.</w:t>
            </w:r>
          </w:p>
        </w:tc>
      </w:tr>
    </w:tbl>
    <w:p>
      <w:pPr>
        <w:sectPr>
          <w:headerReference w:type="default" r:id="rId2"/>
          <w:footerReference w:type="default" r:id="rId3"/>
          <w:type w:val="nextPage"/>
          <w:pgSz w:w="12240" w:h="15840"/>
          <w:pgMar w:left="2347" w:right="1253" w:gutter="0" w:header="907" w:top="1440" w:footer="720" w:bottom="1080"/>
          <w:pgNumType w:fmt="decimal"/>
          <w:formProt w:val="false"/>
          <w:textDirection w:val="lrTb"/>
          <w:docGrid w:type="default" w:linePitch="354" w:charSpace="0"/>
        </w:sectPr>
      </w:pPr>
    </w:p>
    <w:p>
      <w:pPr>
        <w:pStyle w:val="Heading1"/>
        <w:ind w:hanging="547" w:start="547"/>
        <w:rPr/>
      </w:pPr>
      <w:bookmarkStart w:id="9" w:name="TOClabel"/>
      <w:bookmarkEnd w:id="9"/>
      <w:r>
        <w:rPr/>
        <w:t>Executive Summary</w:t>
      </w:r>
    </w:p>
    <w:p>
      <w:pPr>
        <w:pStyle w:val="Normal"/>
        <w:rPr/>
      </w:pPr>
      <w:r>
        <w:rPr/>
        <w:t>In October 1999, former Chairman of the Securities and Exchange Commission, Arthur Levitt, asked Dean Jeffrey E. Garten of the Yale School of Management to form a task force to look into two questions:  Do current company disclosure requirements provide members of the investment community with the information they need to assess company value?  What, if anything, should the government, business organizations, and corporate management do to improve company disclosures?</w:t>
      </w:r>
    </w:p>
    <w:p>
      <w:pPr>
        <w:pStyle w:val="BodyText"/>
        <w:rPr>
          <w:rFonts w:ascii="Times New Roman" w:hAnsi="Times New Roman" w:cs="Times New Roman"/>
          <w:b w:val="false"/>
          <w:bCs/>
          <w:i w:val="false"/>
          <w:i w:val="false"/>
          <w:iCs w:val="false"/>
          <w:sz w:val="26"/>
        </w:rPr>
      </w:pPr>
      <w:r>
        <w:rPr>
          <w:rFonts w:cs="Times New Roman" w:ascii="Times New Roman" w:hAnsi="Times New Roman"/>
          <w:b w:val="false"/>
          <w:bCs/>
          <w:i w:val="false"/>
          <w:iCs w:val="false"/>
          <w:sz w:val="26"/>
        </w:rPr>
        <w:t>The task force was chaired by Jeffrey E. Garten, Dean of the Yale School of Management, and was comprised of the following members:  G. Leonard Baker, Managing Director, Sutter Hill Ventures; John Doerr, Partner, Kleiner Perkins Caufield &amp; Byers; Rob Glaser, Chairman &amp; CEO, RealNetworks; Henry Kaufman, President, Henry Kaufman &amp; Company; Timothy M. Koller, Principal, McKinsey &amp; Co.; Kenneth Lay, Chairman, ENRON; Baruch Lev, Professor of Accounting and Finance, Leonard N. Stern School of Business, New York University; Nancy Peretsman, Managing Director, Allen &amp; Company; Peter G. Peterson, Chairman, The Blackstone Group; Dennis Powell, Vice President and Corporate Controller, Cisco Systems; David L. Shedlarz, Executive Vice President &amp; CFO, Pfizer; Richard Sherlund, Managing Director, Goldman Sachs &amp; Co,; Joseph E. Stiglitz, Professor of Economics, Stanford University; and Hal R. Varian, Dean, School of Information and Management Systems, U. of California at Berkeley.</w:t>
      </w:r>
    </w:p>
    <w:p>
      <w:pPr>
        <w:pStyle w:val="Heading3"/>
        <w:ind w:hanging="0" w:start="0"/>
        <w:rPr/>
      </w:pPr>
      <w:r>
        <w:rPr/>
        <w:t>Conclusions</w:t>
      </w:r>
    </w:p>
    <w:p>
      <w:pPr>
        <w:pStyle w:val="Normal"/>
        <w:rPr/>
      </w:pPr>
      <w:r>
        <w:rPr>
          <w:rFonts w:eastAsia="Arial Unicode MS"/>
        </w:rPr>
        <w:t xml:space="preserve">The task force concluded that improvements in company disclosure would help investors assess the value of dynamic, high-growth companies.  Since value is driven by a company’s expected future profits and cash flow, investors are interested primarily in information that will help them project both.  </w:t>
      </w:r>
      <w:r>
        <w:rPr/>
        <w:t>The current reporting system, comprised of Generally Accepted Accounting Principles (GAAP) and SEC-mandated disclosures, focuses primarily on historical financial transactions. This system provides limited guidance about other disclosures, such as business models, intangible assets and operating performance measures that are critical to understanding the potential sustainable profits and cash flow of high-growth companies.  Intangible assets range from easy-to-identify assets such as technologies and brand names to less defined intangibles such as business processes and customer relationships.  Examples of operating performance measures include revenues per customer, customer retention rates, and order backlog.</w:t>
      </w:r>
    </w:p>
    <w:p>
      <w:pPr>
        <w:pStyle w:val="Normal"/>
        <w:rPr/>
      </w:pPr>
      <w:r>
        <w:rPr/>
        <w:t>While the task force favors extensive disclosure to supplement the core historical financial statements, it focused its efforts on two major categories of information: intangible assets and operating performance measures. Nevertheless, its approach to these two categories of information reflects its general view of disclosure of information not encompassed in GAAP.</w:t>
      </w:r>
    </w:p>
    <w:p>
      <w:pPr>
        <w:pStyle w:val="23summary3"/>
        <w:spacing w:before="0" w:after="180"/>
        <w:jc w:val="start"/>
        <w:rPr/>
      </w:pPr>
      <w:r>
        <w:rPr/>
        <w:t>Many companies voluntarily provide supplemental information about intangible assets and operating performance measures to help investors, and an increasing number understand that doing so is a competitive advantage.  But these efforts vary widely in quality and uniformity.  The task force believes that improved supplemental disclosures of intangible assets and operating performance measures would provide significant benefits to investors valuing dynamic, high-growth companies.</w:t>
      </w:r>
    </w:p>
    <w:p>
      <w:pPr>
        <w:pStyle w:val="Normal"/>
        <w:rPr/>
      </w:pPr>
      <w:r>
        <w:rPr/>
        <w:t>The group believes that enhanced disclosure should not be accomplished by more regulation.  Much of the relevant information that is now missing is industry and company specific.  Given the rapid changes in the economy and in business models, the most relevant data is constantly changing as well.  The group believes that a far better approach to improving voluntary disclosure is to create an overall environment that makes it easier for companies to disclose more information beyond the standard financial statements.</w:t>
      </w:r>
    </w:p>
    <w:p>
      <w:pPr>
        <w:pStyle w:val="Normal"/>
        <w:rPr/>
      </w:pPr>
      <w:r>
        <w:rPr/>
        <w:t xml:space="preserve">The task force was aware of the argument that, absent regulatory pressure, companies would be inclined to disclose voluntarily only favorable information, and that they would avoid disclosing anything that could convey a negative impression of the company.  However, we believe that market forces will penalize companies that provide inadequate information relative to their peers.  </w:t>
      </w:r>
    </w:p>
    <w:p>
      <w:pPr>
        <w:pStyle w:val="Heading3"/>
        <w:ind w:hanging="0" w:start="0"/>
        <w:rPr/>
      </w:pPr>
      <w:r>
        <w:rPr/>
        <w:t>Recommendations</w:t>
      </w:r>
    </w:p>
    <w:p>
      <w:pPr>
        <w:pStyle w:val="Normal"/>
        <w:rPr/>
      </w:pPr>
      <w:r>
        <w:rPr/>
        <w:t>To improve the quality of supplemental disclosures the task force makes two recommendations:</w:t>
      </w:r>
    </w:p>
    <w:p>
      <w:pPr>
        <w:pStyle w:val="Normal"/>
        <w:rPr/>
      </w:pPr>
      <w:r>
        <w:rPr>
          <w:b/>
          <w:bCs/>
        </w:rPr>
        <w:t xml:space="preserve">1. Create A New Framework for Supplemental Reporting of Intangible Assets and Operating Performance Measures. </w:t>
      </w:r>
      <w:r>
        <w:rPr/>
        <w:t xml:space="preserve">  We recommend that the SEC pull together the considerable work that has already been done by academics, the accounting firms and projects sponsored by organizations such as the Financial Accounting Standards Board (FASB) in order to move forward with a framework for voluntary supplemental reporting for intangible assets, operating performance measures and other information that would help investors assess a company’s future performance.  One way to do this would be for the SEC to issue a “concept release” to solicit widespread comments from the business and professional community on the most important aspects of the work done so far in order to facilitate next steps.</w:t>
      </w:r>
    </w:p>
    <w:p>
      <w:pPr>
        <w:pStyle w:val="Normal"/>
        <w:rPr/>
      </w:pPr>
      <w:r>
        <w:rPr/>
        <w:t>Such a framework of voluntary supplemental reporting should complement existing GAAP-based financial statements by creating a common language for companies and investors to communicate about intangible assets and operating performance measures.  It should not be a list of prescribed measures that all companies must report.</w:t>
      </w:r>
    </w:p>
    <w:p>
      <w:pPr>
        <w:pStyle w:val="Normal"/>
        <w:rPr/>
      </w:pPr>
      <w:r>
        <w:rPr>
          <w:b/>
          <w:bCs/>
        </w:rPr>
        <w:t>2.  Create an Environment that Encourages Innovation in Disclosures.</w:t>
      </w:r>
      <w:r>
        <w:rPr/>
        <w:t xml:space="preserve">  In addition to working to create a framework for disclosures about intangible assets and operating performance measures, the task force believes that the government should take as many actions as it can to create an environment that encourages innovative disclosures by reducing the risks associated with doing so.  Many members of the group felt that the litigious climate in the U.S. has discouraged companies from experimenting with supplemental disclosures, despite existing “safe harbor” provisions.</w:t>
      </w:r>
    </w:p>
    <w:p>
      <w:pPr>
        <w:sectPr>
          <w:headerReference w:type="default" r:id="rId4"/>
          <w:headerReference w:type="first" r:id="rId5"/>
          <w:footerReference w:type="default" r:id="rId6"/>
          <w:footerReference w:type="first" r:id="rId7"/>
          <w:type w:val="nextPage"/>
          <w:pgSz w:w="12240" w:h="15840"/>
          <w:pgMar w:left="2347" w:right="1253" w:gutter="0" w:header="907" w:top="1440" w:footer="720" w:bottom="776"/>
          <w:pgNumType w:start="1" w:fmt="decimal"/>
          <w:formProt w:val="false"/>
          <w:textDirection w:val="lrTb"/>
          <w:docGrid w:type="default" w:linePitch="360" w:charSpace="0"/>
        </w:sectPr>
        <w:pStyle w:val="Normal"/>
        <w:rPr/>
      </w:pPr>
      <w:r>
        <w:rPr/>
        <w:t>To facilitate this effort, the group recommends that the SEC support the establishment of a group of experts representing investors, companies, accountants and legal experts to examine ways to create an environment more conducive to disclosures, and it has offered some guidelines for that effort.</w:t>
      </w:r>
    </w:p>
    <w:p>
      <w:pPr>
        <w:pStyle w:val="Heading1"/>
        <w:ind w:hanging="547" w:start="547"/>
        <w:rPr/>
      </w:pPr>
      <w:r>
        <w:rPr/>
        <w:t>Table of Contents</w:t>
      </w:r>
    </w:p>
    <w:p>
      <w:pPr>
        <w:pStyle w:val="Normal"/>
        <w:rPr/>
      </w:pPr>
      <w:r>
        <w:rPr>
          <w:sz w:val="30"/>
        </w:rPr>
        <w:t>Task force report</w:t>
      </w:r>
      <w:r>
        <w:rPr/>
        <w:tab/>
        <w:tab/>
        <w:tab/>
        <w:tab/>
        <w:tab/>
        <w:tab/>
        <w:tab/>
        <w:tab/>
        <w:t xml:space="preserve">  1</w:t>
      </w:r>
    </w:p>
    <w:p>
      <w:pPr>
        <w:pStyle w:val="40address"/>
        <w:rPr/>
      </w:pPr>
      <w:r>
        <w:rPr/>
        <w:t>Attachments</w:t>
      </w:r>
    </w:p>
    <w:p>
      <w:pPr>
        <w:pStyle w:val="Normal"/>
        <w:rPr/>
      </w:pPr>
      <w:r>
        <w:rPr/>
        <w:tab/>
        <w:t>A. Task force background and mandate</w:t>
        <w:tab/>
        <w:tab/>
        <w:tab/>
        <w:tab/>
        <w:t>11</w:t>
      </w:r>
    </w:p>
    <w:p>
      <w:pPr>
        <w:pStyle w:val="Normal"/>
        <w:rPr/>
      </w:pPr>
      <w:r>
        <w:rPr/>
        <w:tab/>
        <w:t>B. Task force members</w:t>
        <w:tab/>
        <w:tab/>
        <w:tab/>
        <w:tab/>
        <w:tab/>
        <w:tab/>
        <w:t>12</w:t>
      </w:r>
    </w:p>
    <w:p>
      <w:pPr>
        <w:pStyle w:val="05number1"/>
        <w:rPr/>
      </w:pPr>
      <w:r>
        <w:rPr/>
        <w:t>C. Other issues discussed</w:t>
        <w:tab/>
        <w:tab/>
        <w:tab/>
        <w:tab/>
        <w:tab/>
        <w:tab/>
        <w:t>14</w:t>
      </w:r>
    </w:p>
    <w:p>
      <w:pPr>
        <w:pStyle w:val="05number1"/>
        <w:rPr/>
      </w:pPr>
      <w:r>
        <w:rPr/>
        <w:t>D.  Individual views                                                                    20</w:t>
      </w:r>
    </w:p>
    <w:p>
      <w:pPr>
        <w:pStyle w:val="Normal"/>
        <w:rPr/>
      </w:pPr>
      <w:r>
        <w:rPr/>
        <w:t>Background Papers</w:t>
      </w:r>
      <w:r>
        <w:rPr>
          <w:rStyle w:val="FootnoteCharacters"/>
          <w:rStyle w:val="FootnoteReference"/>
        </w:rPr>
        <w:footnoteReference w:customMarkFollows="1" w:id="2"/>
        <w:t>*</w:t>
      </w:r>
    </w:p>
    <w:p>
      <w:pPr>
        <w:pStyle w:val="05number1"/>
        <w:rPr/>
      </w:pPr>
      <w:r>
        <w:rPr/>
        <w:t>1.</w:t>
        <w:tab/>
        <w:t>An environment of rapid and pervasive change</w:t>
        <w:tab/>
        <w:tab/>
        <w:t>22</w:t>
      </w:r>
    </w:p>
    <w:p>
      <w:pPr>
        <w:pStyle w:val="05number1"/>
        <w:rPr/>
      </w:pPr>
      <w:r>
        <w:rPr/>
        <w:t>2.  Intangible assets and the valuation of companies</w:t>
        <w:tab/>
        <w:tab/>
        <w:t>26</w:t>
      </w:r>
    </w:p>
    <w:p>
      <w:pPr>
        <w:sectPr>
          <w:headerReference w:type="default" r:id="rId8"/>
          <w:headerReference w:type="first" r:id="rId9"/>
          <w:footerReference w:type="default" r:id="rId10"/>
          <w:footerReference w:type="first" r:id="rId11"/>
          <w:footnotePr>
            <w:numFmt w:val="decimal"/>
          </w:footnotePr>
          <w:type w:val="nextPage"/>
          <w:pgSz w:w="12240" w:h="15840"/>
          <w:pgMar w:left="2347" w:right="1253" w:gutter="0" w:header="907" w:top="1440" w:footer="720" w:bottom="776"/>
          <w:pgNumType w:start="1" w:fmt="decimal"/>
          <w:formProt w:val="false"/>
          <w:textDirection w:val="lrTb"/>
          <w:docGrid w:type="default" w:linePitch="360" w:charSpace="0"/>
        </w:sectPr>
        <w:pStyle w:val="05number1"/>
        <w:rPr/>
      </w:pPr>
      <w:r>
        <w:rPr/>
        <w:t>3.  Background on safe harbor disclosure provisions</w:t>
        <w:tab/>
        <w:tab/>
        <w:t xml:space="preserve">37 </w:t>
      </w:r>
    </w:p>
    <w:p>
      <w:pPr>
        <w:pStyle w:val="Heading1"/>
        <w:ind w:hanging="547" w:start="547"/>
        <w:rPr/>
      </w:pPr>
      <w:r>
        <w:rPr/>
        <w:t>Strengthening Financial Markets:  Do Investors Have The Information They Need?</w:t>
      </w:r>
    </w:p>
    <w:p>
      <w:pPr>
        <w:pStyle w:val="Normal"/>
        <w:rPr/>
      </w:pPr>
      <w:r>
        <w:rPr/>
        <w:t>This report represents the findings of a task force established at the suggestion of the former chairman of the Securities and Exchange Commission, Arthur Levitt, in October 1999.</w:t>
      </w:r>
    </w:p>
    <w:p>
      <w:pPr>
        <w:pStyle w:val="Normal"/>
        <w:rPr/>
      </w:pPr>
      <w:r>
        <w:rPr/>
        <w:t>In late 1999 and early 2000, leaders in business, government, academia, and the press were wrestling with a broad range of issues brought on by the Internet boom.  Questions that were raised included:  How could the market determine that a two-year old company--losing a hundred million dollars a year and selling products that were hard to describe--be valued at $1 billion, or $5 billion, or even $10 billion?  What kind of information do you need to value companies with new, untested business models?  How can the record high volatility of the stock market be explained and will it cause any damage to the economy or financial markets?   How will technology change the way investors obtain information about companies?  Are small investors at a disadvantage relative to large investors, particularly when it comes to investing in very high growth companies?</w:t>
      </w:r>
    </w:p>
    <w:p>
      <w:pPr>
        <w:pStyle w:val="Normal"/>
        <w:rPr/>
      </w:pPr>
      <w:r>
        <w:rPr/>
        <w:t>To some extent, the task force wrestled with all these questions.  We focused, however, on two questions deserving immediate attention where we could identify actions that could make a difference.  Specifically, we sought to determine (1) whether current company disclosure provides members of the investment community with the information they need to assess company value, and (2) what, if anything, the government, business organizations, and corporate management should do to improve company disclosures.  (See Attachment A for background on the task force’s establishment and mandate.)</w:t>
      </w:r>
    </w:p>
    <w:p>
      <w:pPr>
        <w:pStyle w:val="Normal"/>
        <w:rPr/>
      </w:pPr>
      <w:r>
        <w:rPr/>
        <w:t>Aware that a number of industry groups, accounting firms, think tanks, and academics were addressing related issues, we were asked to focus on broad themes that could guide the direction of future efforts by the SEC and others to bring to conclusion the various strands of work that were already ongoing.</w:t>
      </w:r>
    </w:p>
    <w:p>
      <w:pPr>
        <w:pStyle w:val="Normal"/>
        <w:rPr/>
      </w:pPr>
      <w:r>
        <w:rPr/>
        <w:t>The task force began its work in April 2000. It was comprised of men and women with significant experience as senior corporate executives, investment bankers, securities analysts, venture capitalists, management consultants, and academics.  The group met at regular intervals and held several telephone conference calls.  It exchanged papers and comments. (See Attachment B for the task force’s members.)</w:t>
      </w:r>
    </w:p>
    <w:p>
      <w:pPr>
        <w:pStyle w:val="Normal"/>
        <w:rPr/>
      </w:pPr>
      <w:r>
        <w:rPr/>
        <w:t xml:space="preserve">By design, we did not create a technical staff and we did not attempt to break new ground with any in-depth analysis.  Our intention was to reflect the judgments of our members, based on their own experiences and intuitions, and to see what could be agreed upon, what could not, and what subjects were worthy of further study by groups with more specialized knowledge. </w:t>
      </w:r>
    </w:p>
    <w:p>
      <w:pPr>
        <w:pStyle w:val="Normal"/>
        <w:rPr/>
      </w:pPr>
      <w:r>
        <w:rPr/>
        <w:t>Our discussions took place from April 2000 through April 2001, a period beginning when the NASDAQ index had just reached its record high and subsequently dropped by more than 60%.  We deliberated through a dramatic cycle in the markets and we believe that our recommendations are relevant when the NASDAQ was at 5000 and are relevant in the current environment as well.</w:t>
      </w:r>
    </w:p>
    <w:p>
      <w:pPr>
        <w:pStyle w:val="Normal"/>
        <w:rPr/>
      </w:pPr>
      <w:r>
        <w:rPr/>
      </w:r>
    </w:p>
    <w:p>
      <w:pPr>
        <w:pStyle w:val="22numberedparagraph"/>
        <w:tabs>
          <w:tab w:val="clear" w:pos="360"/>
        </w:tabs>
        <w:rPr>
          <w:b w:val="false"/>
        </w:rPr>
      </w:pPr>
      <w:r>
        <w:rPr/>
        <w:t>PHILOSOPHICAL AGREEMENTS</w:t>
      </w:r>
    </w:p>
    <w:p>
      <w:pPr>
        <w:pStyle w:val="Normal"/>
        <w:rPr/>
      </w:pPr>
      <w:r>
        <w:rPr/>
        <w:t>As a basis for our conclusions and recommendations, the task force discussed and broadly shared the following outlook:</w:t>
      </w:r>
    </w:p>
    <w:p>
      <w:pPr>
        <w:pStyle w:val="05number1"/>
        <w:rPr/>
      </w:pPr>
      <w:r>
        <w:rPr/>
        <w:t>1.</w:t>
        <w:tab/>
        <w:t>When we thought about the term “new economy,” we included all companies that are embracing new technologies and new business models.  There was little enthusiasm for the term “new economy” itself, for in the view of most task force members there was -- and is -- just one economy in the throes of dramatic change.  The demise of many dot.coms, and the volatility of shares in stocks of technology companies notwithstanding, the task force was convinced that new technologies were transforming all companies and the economy as a whole, and that it was vital to review the kinds of information that companies have been disclosing and the ways they are doing it.</w:t>
      </w:r>
    </w:p>
    <w:p>
      <w:pPr>
        <w:pStyle w:val="05number1"/>
        <w:rPr/>
      </w:pPr>
      <w:r>
        <w:rPr/>
        <w:t>2.</w:t>
        <w:tab/>
        <w:t>The fundamental drivers of value have always been -- and remain -- a company’s potential to generate sustained profits and cash flow.  Clearly, assessing profit and cash flow potential is much harder today as technological change creates new business models and new winners and losers at a breathtaking pace, but that does not change the fundamental economic principles of value creation.  While this point of view is conventional wisdom now that so many Internet companies are trading at fractions of their recent valuations, it was also the unswerving view of the group when Internet shares reached their heights in early 2000.</w:t>
      </w:r>
    </w:p>
    <w:p>
      <w:pPr>
        <w:pStyle w:val="05number1"/>
        <w:rPr/>
      </w:pPr>
      <w:r>
        <w:rPr/>
        <w:t>3.</w:t>
        <w:tab/>
        <w:t>The task force believes that more information has become available to more people in a more contemporaneous time frame than ever before -- a highly positive development.  Nevertheless, it is also of our view that in a period of rapid change and high uncertainty, investors require more and better information, delivered quicker than ever. However, the group felt that, at this time, more regulation was generally inadvisable since prescriptive formulas could have more unintended and more undesirable side effects than during more stable times.  After all, too much of the relevant information that is now missing is industry and company specific.  Given the rapid changes in the economy and in business models, the most relevant data is constantly changing as well.  The group believes that a far better approach to improving disclosure is to create an overall environment that makes it easier for companies to disclose more information beyond the standard financial statements.  Indeed, the group felt that companies should and would experiment with new ways to present and disclose information -- and that this would benefit investors -- if the balance of incentives and disincentives for disclosures were improved.</w:t>
      </w:r>
    </w:p>
    <w:p>
      <w:pPr>
        <w:pStyle w:val="05number1"/>
        <w:rPr/>
      </w:pPr>
      <w:r>
        <w:rPr/>
        <w:t>4.</w:t>
        <w:tab/>
        <w:t>The task force was aware of the argument that, absent regulatory pressure, companies would be inclined to disclose voluntarily only favorable information, and that they would avoid disclosing anything that could convey a negative impression of the company.  However, we believe that market forces will penalize companies that provide inadequate information relative to their peers.  First, they will be bombarded with questions by investors asking for disclosures similar to their peers.  If they fail to provide the information, investors will assume they are hiding bad news and will mark down their share price.  In sum, good disclosure will force out bad disclosure.</w:t>
      </w:r>
    </w:p>
    <w:p>
      <w:pPr>
        <w:pStyle w:val="05number1"/>
        <w:rPr/>
      </w:pPr>
      <w:r>
        <w:rPr/>
        <w:t>5.</w:t>
        <w:tab/>
        <w:t>The task force believes that in the context of broad changes in the structure of our economy, in the very definitions of industry classification, and in the many new business models that are evolving, it is important for companies to be encouraged to experiment with disclosing more information through more channels. By the same token, investors need to know what information is hard and what is soft and speculative.  The legal system needs to make allowance for this experimentation and for the fact that virtually all forward-looking information is tenuous at best.</w:t>
      </w:r>
    </w:p>
    <w:p>
      <w:pPr>
        <w:pStyle w:val="Heading2"/>
        <w:ind w:hanging="0" w:start="0"/>
        <w:rPr/>
      </w:pPr>
      <w:r>
        <w:rPr/>
        <w:t>Conclusions</w:t>
      </w:r>
    </w:p>
    <w:p>
      <w:pPr>
        <w:pStyle w:val="Normal"/>
        <w:rPr>
          <w:rFonts w:eastAsia="Arial Unicode MS"/>
        </w:rPr>
      </w:pPr>
      <w:r>
        <w:rPr>
          <w:rFonts w:eastAsia="Arial Unicode MS"/>
        </w:rPr>
        <w:t>The task force concluded that improvements in company disclosure would help investors assess the value of dynamic, high-growth companies. We favor a broad range of disclosures ranging from descriptions of business models to measurements for the time it takes to introduce new products to the market.</w:t>
      </w:r>
    </w:p>
    <w:p>
      <w:pPr>
        <w:pStyle w:val="Normal"/>
        <w:rPr/>
      </w:pPr>
      <w:r>
        <w:rPr>
          <w:rFonts w:eastAsia="Arial Unicode MS"/>
        </w:rPr>
        <w:t xml:space="preserve">Value is driven by a company’s expected future profits and cash flow, so investors are interested primarily in information that will help them project both.  </w:t>
      </w:r>
      <w:r>
        <w:rPr/>
        <w:t>The current reporting system, comprised of Generally Accepted Accounting Principles (GAAP) and SEC-mandated disclosures, focuses primarily on historical financial transactions. This system provides limited guidance about reporting information that is critical to understanding potential sustainable profits and cash flow of dynamic high growth companies such as intangible assets, operating performance measures, discussions of company business models and strategies, and future industry demand.</w:t>
      </w:r>
      <w:r>
        <w:rPr>
          <w:rStyle w:val="FootnoteCharacters"/>
          <w:rStyle w:val="FootnoteReference"/>
        </w:rPr>
        <w:footnoteReference w:id="3"/>
      </w:r>
      <w:r>
        <w:rPr/>
        <w:t xml:space="preserve">  Intangible assets range from easy-to-identify assets such as technologies and brand names to less defined intangibles such as business processes and customer relationships (Exhibit 1 below). Examples of operating performance measures include revenues per customer, customer retention rates, and order backlog. </w:t>
      </w:r>
    </w:p>
    <w:p>
      <w:pPr>
        <w:pStyle w:val="23summary3"/>
        <w:spacing w:before="0" w:after="180"/>
        <w:jc w:val="start"/>
        <w:rPr/>
      </w:pPr>
      <w:r>
        <w:rPr/>
      </w:r>
    </w:p>
    <w:p>
      <w:pPr>
        <w:pStyle w:val="Heading4"/>
        <w:ind w:hanging="0" w:start="0"/>
        <w:rPr>
          <w:u w:val="none"/>
        </w:rPr>
      </w:pPr>
      <w:r>
        <w:rPr>
          <w:u w:val="none"/>
        </w:rPr>
        <w:t>Exhibit 1</w:t>
      </w:r>
    </w:p>
    <w:p>
      <w:pPr>
        <w:pStyle w:val="Normal"/>
        <w:rPr>
          <w:b/>
          <w:bCs/>
        </w:rPr>
      </w:pPr>
      <w:r>
        <w:rPr>
          <w:b/>
          <w:bCs/>
        </w:rPr>
        <w:t>Examples of Intangibles and Operating Performance Measures</w:t>
      </w:r>
    </w:p>
    <w:p>
      <w:pPr>
        <w:pStyle w:val="Normal"/>
        <w:rPr>
          <w:b/>
          <w:bCs/>
        </w:rPr>
      </w:pPr>
      <w:r>
        <w:rPr>
          <w:b/>
          <w:bCs/>
        </w:rPr>
      </w:r>
    </w:p>
    <w:tbl>
      <w:tblPr>
        <w:tblW w:w="8038" w:type="dxa"/>
        <w:jc w:val="start"/>
        <w:tblInd w:w="0" w:type="dxa"/>
        <w:tblLayout w:type="fixed"/>
        <w:tblCellMar>
          <w:top w:w="0" w:type="dxa"/>
          <w:start w:w="108" w:type="dxa"/>
          <w:bottom w:w="0" w:type="dxa"/>
          <w:end w:w="108" w:type="dxa"/>
        </w:tblCellMar>
      </w:tblPr>
      <w:tblGrid>
        <w:gridCol w:w="4008"/>
        <w:gridCol w:w="4030"/>
      </w:tblGrid>
      <w:tr>
        <w:trPr/>
        <w:tc>
          <w:tcPr>
            <w:tcW w:w="4008" w:type="dxa"/>
            <w:tcBorders>
              <w:top w:val="single" w:sz="18" w:space="0" w:color="000000"/>
              <w:start w:val="single" w:sz="18" w:space="0" w:color="000000"/>
            </w:tcBorders>
          </w:tcPr>
          <w:p>
            <w:pPr>
              <w:pStyle w:val="15tableheading"/>
              <w:rPr/>
            </w:pPr>
            <w:r>
              <w:rPr/>
              <w:t>Intangible Assets</w:t>
            </w:r>
          </w:p>
        </w:tc>
        <w:tc>
          <w:tcPr>
            <w:tcW w:w="4030" w:type="dxa"/>
            <w:tcBorders>
              <w:top w:val="single" w:sz="18" w:space="0" w:color="000000"/>
              <w:end w:val="single" w:sz="18" w:space="0" w:color="000000"/>
            </w:tcBorders>
          </w:tcPr>
          <w:p>
            <w:pPr>
              <w:pStyle w:val="15tableheading"/>
              <w:rPr/>
            </w:pPr>
            <w:r>
              <w:rPr/>
              <w:t>Operating Performance Measures</w:t>
            </w:r>
          </w:p>
        </w:tc>
      </w:tr>
      <w:tr>
        <w:trPr/>
        <w:tc>
          <w:tcPr>
            <w:tcW w:w="4008" w:type="dxa"/>
            <w:tcBorders>
              <w:start w:val="single" w:sz="18" w:space="0" w:color="000000"/>
            </w:tcBorders>
          </w:tcPr>
          <w:p>
            <w:pPr>
              <w:pStyle w:val="10tablenormal"/>
              <w:snapToGrid w:val="false"/>
              <w:rPr/>
            </w:pPr>
            <w:r>
              <w:rPr/>
            </w:r>
          </w:p>
        </w:tc>
        <w:tc>
          <w:tcPr>
            <w:tcW w:w="4030" w:type="dxa"/>
            <w:tcBorders>
              <w:end w:val="single" w:sz="18" w:space="0" w:color="000000"/>
            </w:tcBorders>
          </w:tcPr>
          <w:p>
            <w:pPr>
              <w:pStyle w:val="10tablenormal"/>
              <w:snapToGrid w:val="false"/>
              <w:rPr/>
            </w:pPr>
            <w:r>
              <w:rPr/>
            </w:r>
          </w:p>
        </w:tc>
      </w:tr>
      <w:tr>
        <w:trPr/>
        <w:tc>
          <w:tcPr>
            <w:tcW w:w="4008" w:type="dxa"/>
            <w:tcBorders>
              <w:start w:val="single" w:sz="18" w:space="0" w:color="000000"/>
            </w:tcBorders>
          </w:tcPr>
          <w:p>
            <w:pPr>
              <w:pStyle w:val="10tablenormal"/>
              <w:rPr/>
            </w:pPr>
            <w:r>
              <w:rPr/>
              <w:t>Brand names</w:t>
            </w:r>
          </w:p>
        </w:tc>
        <w:tc>
          <w:tcPr>
            <w:tcW w:w="4030" w:type="dxa"/>
            <w:tcBorders>
              <w:end w:val="single" w:sz="18" w:space="0" w:color="000000"/>
            </w:tcBorders>
          </w:tcPr>
          <w:p>
            <w:pPr>
              <w:pStyle w:val="10tablenormal"/>
              <w:rPr/>
            </w:pPr>
            <w:r>
              <w:rPr/>
              <w:t>Customer acquisition cost</w:t>
            </w:r>
          </w:p>
        </w:tc>
      </w:tr>
      <w:tr>
        <w:trPr/>
        <w:tc>
          <w:tcPr>
            <w:tcW w:w="4008" w:type="dxa"/>
            <w:tcBorders>
              <w:start w:val="single" w:sz="18" w:space="0" w:color="000000"/>
            </w:tcBorders>
          </w:tcPr>
          <w:p>
            <w:pPr>
              <w:pStyle w:val="10tablenormal"/>
              <w:rPr/>
            </w:pPr>
            <w:r>
              <w:rPr/>
              <w:t>Patents</w:t>
            </w:r>
          </w:p>
        </w:tc>
        <w:tc>
          <w:tcPr>
            <w:tcW w:w="4030" w:type="dxa"/>
            <w:tcBorders>
              <w:end w:val="single" w:sz="18" w:space="0" w:color="000000"/>
            </w:tcBorders>
          </w:tcPr>
          <w:p>
            <w:pPr>
              <w:pStyle w:val="10tablenormal"/>
              <w:rPr/>
            </w:pPr>
            <w:r>
              <w:rPr/>
              <w:t>Revenue per customer</w:t>
            </w:r>
          </w:p>
        </w:tc>
      </w:tr>
      <w:tr>
        <w:trPr/>
        <w:tc>
          <w:tcPr>
            <w:tcW w:w="4008" w:type="dxa"/>
            <w:tcBorders>
              <w:start w:val="single" w:sz="18" w:space="0" w:color="000000"/>
            </w:tcBorders>
          </w:tcPr>
          <w:p>
            <w:pPr>
              <w:pStyle w:val="10tablenormal"/>
              <w:rPr/>
            </w:pPr>
            <w:r>
              <w:rPr/>
              <w:t>Trademarks/copyrights</w:t>
            </w:r>
          </w:p>
        </w:tc>
        <w:tc>
          <w:tcPr>
            <w:tcW w:w="4030" w:type="dxa"/>
            <w:tcBorders>
              <w:end w:val="single" w:sz="18" w:space="0" w:color="000000"/>
            </w:tcBorders>
          </w:tcPr>
          <w:p>
            <w:pPr>
              <w:pStyle w:val="10tablenormal"/>
              <w:rPr/>
            </w:pPr>
            <w:r>
              <w:rPr/>
              <w:t>Number of customers</w:t>
            </w:r>
          </w:p>
        </w:tc>
      </w:tr>
      <w:tr>
        <w:trPr/>
        <w:tc>
          <w:tcPr>
            <w:tcW w:w="4008" w:type="dxa"/>
            <w:tcBorders>
              <w:start w:val="single" w:sz="18" w:space="0" w:color="000000"/>
            </w:tcBorders>
          </w:tcPr>
          <w:p>
            <w:pPr>
              <w:pStyle w:val="10tablenormal"/>
              <w:rPr/>
            </w:pPr>
            <w:r>
              <w:rPr/>
              <w:t>Proprietary business processes</w:t>
            </w:r>
          </w:p>
        </w:tc>
        <w:tc>
          <w:tcPr>
            <w:tcW w:w="4030" w:type="dxa"/>
            <w:tcBorders>
              <w:end w:val="single" w:sz="18" w:space="0" w:color="000000"/>
            </w:tcBorders>
          </w:tcPr>
          <w:p>
            <w:pPr>
              <w:pStyle w:val="10tablenormal"/>
              <w:rPr/>
            </w:pPr>
            <w:r>
              <w:rPr/>
              <w:t>Inventory turnover</w:t>
            </w:r>
          </w:p>
        </w:tc>
      </w:tr>
      <w:tr>
        <w:trPr/>
        <w:tc>
          <w:tcPr>
            <w:tcW w:w="4008" w:type="dxa"/>
            <w:tcBorders>
              <w:start w:val="single" w:sz="18" w:space="0" w:color="000000"/>
            </w:tcBorders>
          </w:tcPr>
          <w:p>
            <w:pPr>
              <w:pStyle w:val="10tablenormal"/>
              <w:rPr/>
            </w:pPr>
            <w:r>
              <w:rPr/>
              <w:t>Skilled employees</w:t>
            </w:r>
          </w:p>
        </w:tc>
        <w:tc>
          <w:tcPr>
            <w:tcW w:w="4030" w:type="dxa"/>
            <w:tcBorders>
              <w:end w:val="single" w:sz="18" w:space="0" w:color="000000"/>
            </w:tcBorders>
          </w:tcPr>
          <w:p>
            <w:pPr>
              <w:pStyle w:val="10tablenormal"/>
              <w:rPr/>
            </w:pPr>
            <w:r>
              <w:rPr/>
              <w:t>Cost per unit</w:t>
            </w:r>
          </w:p>
        </w:tc>
      </w:tr>
      <w:tr>
        <w:trPr/>
        <w:tc>
          <w:tcPr>
            <w:tcW w:w="4008" w:type="dxa"/>
            <w:tcBorders>
              <w:start w:val="single" w:sz="18" w:space="0" w:color="000000"/>
            </w:tcBorders>
          </w:tcPr>
          <w:p>
            <w:pPr>
              <w:pStyle w:val="10tablenormal"/>
              <w:rPr/>
            </w:pPr>
            <w:r>
              <w:rPr/>
              <w:t>Business Alliances</w:t>
            </w:r>
          </w:p>
        </w:tc>
        <w:tc>
          <w:tcPr>
            <w:tcW w:w="4030" w:type="dxa"/>
            <w:tcBorders>
              <w:end w:val="single" w:sz="18" w:space="0" w:color="000000"/>
            </w:tcBorders>
          </w:tcPr>
          <w:p>
            <w:pPr>
              <w:pStyle w:val="10tablenormal"/>
              <w:rPr/>
            </w:pPr>
            <w:r>
              <w:rPr/>
              <w:t>Market share</w:t>
            </w:r>
          </w:p>
        </w:tc>
      </w:tr>
      <w:tr>
        <w:trPr/>
        <w:tc>
          <w:tcPr>
            <w:tcW w:w="4008" w:type="dxa"/>
            <w:tcBorders>
              <w:start w:val="single" w:sz="18" w:space="0" w:color="000000"/>
            </w:tcBorders>
          </w:tcPr>
          <w:p>
            <w:pPr>
              <w:pStyle w:val="10tablenormal"/>
              <w:rPr/>
            </w:pPr>
            <w:r>
              <w:rPr/>
              <w:t>Product licenses</w:t>
            </w:r>
          </w:p>
        </w:tc>
        <w:tc>
          <w:tcPr>
            <w:tcW w:w="4030" w:type="dxa"/>
            <w:tcBorders>
              <w:end w:val="single" w:sz="18" w:space="0" w:color="000000"/>
            </w:tcBorders>
          </w:tcPr>
          <w:p>
            <w:pPr>
              <w:pStyle w:val="10tablenormal"/>
              <w:rPr/>
            </w:pPr>
            <w:r>
              <w:rPr/>
              <w:t>Time to market</w:t>
            </w:r>
          </w:p>
        </w:tc>
      </w:tr>
      <w:tr>
        <w:trPr/>
        <w:tc>
          <w:tcPr>
            <w:tcW w:w="4008" w:type="dxa"/>
            <w:tcBorders>
              <w:start w:val="single" w:sz="18" w:space="0" w:color="000000"/>
            </w:tcBorders>
          </w:tcPr>
          <w:p>
            <w:pPr>
              <w:pStyle w:val="10tablenormal"/>
              <w:rPr/>
            </w:pPr>
            <w:r>
              <w:rPr/>
              <w:t>Loyal or locked-in customers</w:t>
            </w:r>
          </w:p>
        </w:tc>
        <w:tc>
          <w:tcPr>
            <w:tcW w:w="4030" w:type="dxa"/>
            <w:tcBorders>
              <w:end w:val="single" w:sz="18" w:space="0" w:color="000000"/>
            </w:tcBorders>
          </w:tcPr>
          <w:p>
            <w:pPr>
              <w:pStyle w:val="10tablenormal"/>
              <w:rPr/>
            </w:pPr>
            <w:r>
              <w:rPr/>
              <w:t>Revenue pre transaction</w:t>
            </w:r>
          </w:p>
        </w:tc>
      </w:tr>
      <w:tr>
        <w:trPr/>
        <w:tc>
          <w:tcPr>
            <w:tcW w:w="4008" w:type="dxa"/>
            <w:tcBorders>
              <w:start w:val="single" w:sz="18" w:space="0" w:color="000000"/>
            </w:tcBorders>
          </w:tcPr>
          <w:p>
            <w:pPr>
              <w:pStyle w:val="10tablenormal"/>
              <w:rPr/>
            </w:pPr>
            <w:r>
              <w:rPr/>
              <w:t>Customer lists</w:t>
            </w:r>
          </w:p>
        </w:tc>
        <w:tc>
          <w:tcPr>
            <w:tcW w:w="4030" w:type="dxa"/>
            <w:tcBorders>
              <w:end w:val="single" w:sz="18" w:space="0" w:color="000000"/>
            </w:tcBorders>
          </w:tcPr>
          <w:p>
            <w:pPr>
              <w:pStyle w:val="10tablenormal"/>
              <w:rPr/>
            </w:pPr>
            <w:r>
              <w:rPr/>
              <w:t>Employee turnover</w:t>
            </w:r>
          </w:p>
        </w:tc>
      </w:tr>
      <w:tr>
        <w:trPr/>
        <w:tc>
          <w:tcPr>
            <w:tcW w:w="4008" w:type="dxa"/>
            <w:tcBorders>
              <w:start w:val="single" w:sz="18" w:space="0" w:color="000000"/>
            </w:tcBorders>
          </w:tcPr>
          <w:p>
            <w:pPr>
              <w:pStyle w:val="10tablenormal"/>
              <w:rPr/>
            </w:pPr>
            <w:r>
              <w:rPr/>
              <w:t>Desirable locations</w:t>
            </w:r>
          </w:p>
        </w:tc>
        <w:tc>
          <w:tcPr>
            <w:tcW w:w="4030" w:type="dxa"/>
            <w:tcBorders>
              <w:end w:val="single" w:sz="18" w:space="0" w:color="000000"/>
            </w:tcBorders>
          </w:tcPr>
          <w:p>
            <w:pPr>
              <w:pStyle w:val="10tablenormal"/>
              <w:rPr/>
            </w:pPr>
            <w:r>
              <w:rPr/>
              <w:t>Manufacturing  throughput</w:t>
            </w:r>
          </w:p>
        </w:tc>
      </w:tr>
      <w:tr>
        <w:trPr/>
        <w:tc>
          <w:tcPr>
            <w:tcW w:w="4008" w:type="dxa"/>
            <w:tcBorders>
              <w:start w:val="single" w:sz="18" w:space="0" w:color="000000"/>
            </w:tcBorders>
          </w:tcPr>
          <w:p>
            <w:pPr>
              <w:pStyle w:val="10tablenormal"/>
              <w:rPr/>
            </w:pPr>
            <w:r>
              <w:rPr/>
              <w:t>Preferential rights (e.g., drilling)</w:t>
            </w:r>
          </w:p>
        </w:tc>
        <w:tc>
          <w:tcPr>
            <w:tcW w:w="4030" w:type="dxa"/>
            <w:tcBorders>
              <w:end w:val="single" w:sz="18" w:space="0" w:color="000000"/>
            </w:tcBorders>
          </w:tcPr>
          <w:p>
            <w:pPr>
              <w:pStyle w:val="10tablenormal"/>
              <w:rPr/>
            </w:pPr>
            <w:r>
              <w:rPr/>
              <w:t>Order backlog</w:t>
            </w:r>
          </w:p>
        </w:tc>
      </w:tr>
      <w:tr>
        <w:trPr/>
        <w:tc>
          <w:tcPr>
            <w:tcW w:w="4008" w:type="dxa"/>
            <w:tcBorders>
              <w:start w:val="single" w:sz="18" w:space="0" w:color="000000"/>
            </w:tcBorders>
          </w:tcPr>
          <w:p>
            <w:pPr>
              <w:pStyle w:val="10tablenormal"/>
              <w:rPr/>
            </w:pPr>
            <w:r>
              <w:rPr/>
              <w:t>Landing rights</w:t>
            </w:r>
          </w:p>
        </w:tc>
        <w:tc>
          <w:tcPr>
            <w:tcW w:w="4030" w:type="dxa"/>
            <w:tcBorders>
              <w:end w:val="single" w:sz="18" w:space="0" w:color="000000"/>
            </w:tcBorders>
          </w:tcPr>
          <w:p>
            <w:pPr>
              <w:pStyle w:val="Normal"/>
              <w:spacing w:before="0" w:after="0"/>
              <w:rPr/>
            </w:pPr>
            <w:r>
              <w:rPr/>
              <w:t>Revenue per employee</w:t>
            </w:r>
          </w:p>
        </w:tc>
      </w:tr>
      <w:tr>
        <w:trPr/>
        <w:tc>
          <w:tcPr>
            <w:tcW w:w="4008" w:type="dxa"/>
            <w:tcBorders>
              <w:start w:val="single" w:sz="18" w:space="0" w:color="000000"/>
              <w:bottom w:val="single" w:sz="18" w:space="0" w:color="000000"/>
            </w:tcBorders>
          </w:tcPr>
          <w:p>
            <w:pPr>
              <w:pStyle w:val="10tablenormal"/>
              <w:rPr/>
            </w:pPr>
            <w:r>
              <w:rPr/>
              <w:t>Airwave spectrum rights</w:t>
            </w:r>
          </w:p>
        </w:tc>
        <w:tc>
          <w:tcPr>
            <w:tcW w:w="4030" w:type="dxa"/>
            <w:tcBorders>
              <w:bottom w:val="single" w:sz="18" w:space="0" w:color="000000"/>
              <w:end w:val="single" w:sz="18" w:space="0" w:color="000000"/>
            </w:tcBorders>
          </w:tcPr>
          <w:p>
            <w:pPr>
              <w:pStyle w:val="Normal"/>
              <w:spacing w:before="0" w:after="0"/>
              <w:rPr/>
            </w:pPr>
            <w:r>
              <w:rPr/>
              <w:t>Revenue from new products</w:t>
            </w:r>
          </w:p>
          <w:p>
            <w:pPr>
              <w:pStyle w:val="10tablenormal"/>
              <w:rPr/>
            </w:pPr>
            <w:r>
              <w:rPr/>
            </w:r>
          </w:p>
        </w:tc>
      </w:tr>
    </w:tbl>
    <w:p>
      <w:pPr>
        <w:pStyle w:val="Normal"/>
        <w:rPr/>
      </w:pPr>
      <w:r>
        <w:rPr/>
      </w:r>
    </w:p>
    <w:p>
      <w:pPr>
        <w:pStyle w:val="Normal"/>
        <w:rPr/>
      </w:pPr>
      <w:r>
        <w:rPr/>
        <w:t>Many companies voluntarily provide supplemental information about intangible assets and operating performance measures to help investors and an increasing number understand that doing so is a competitive advantage.  But these efforts vary widely in quality and uniformity.  The task force believes that improved supplemental disclosures about intangible assets and operating performance measures would provide significant benefits to investors.</w:t>
      </w:r>
    </w:p>
    <w:p>
      <w:pPr>
        <w:pStyle w:val="Normal"/>
        <w:rPr>
          <w:rFonts w:eastAsia="Arial Unicode MS"/>
        </w:rPr>
      </w:pPr>
      <w:r>
        <w:rPr>
          <w:rFonts w:eastAsia="Arial Unicode MS"/>
        </w:rPr>
        <w:t xml:space="preserve">While supporting improvements in voluntary disclosure, the task force does not have the evidence to conclude that better disclosure alone would have substantially decreased stock market volatility over the last several years. We do not believe that anyone could make this determination since genuine uncertainty about technological developments and company performance, as well as the structure of markets themselves, are probably more significant drivers of volatility.  Regarding investor decisions, however, we believe that improved disclosure makes for wiser judgment over a period of time.    </w:t>
      </w:r>
    </w:p>
    <w:p>
      <w:pPr>
        <w:pStyle w:val="Normal"/>
        <w:rPr>
          <w:rFonts w:eastAsia="Arial Unicode MS"/>
        </w:rPr>
      </w:pPr>
      <w:r>
        <w:rPr>
          <w:rFonts w:eastAsia="Arial Unicode MS"/>
        </w:rPr>
        <w:t>There was also agreement that the playing field could never be totally level between the large, institutional investor and the ordinary investor. The former would always have more ability to concentrate time and resources on their investment analysis. Still, more disclosure could benefit everyone.</w:t>
      </w:r>
    </w:p>
    <w:p>
      <w:pPr>
        <w:pStyle w:val="Heading2"/>
        <w:ind w:hanging="0" w:start="0"/>
        <w:rPr/>
      </w:pPr>
      <w:r>
        <w:rPr/>
        <w:t xml:space="preserve">Recommendations </w:t>
      </w:r>
    </w:p>
    <w:p>
      <w:pPr>
        <w:pStyle w:val="23summary3"/>
        <w:spacing w:before="0" w:after="180"/>
        <w:jc w:val="start"/>
        <w:rPr/>
      </w:pPr>
      <w:r>
        <w:rPr/>
        <w:t>To improve the quality of supplemental disclosures the task force makes two principal recommendations:</w:t>
      </w:r>
    </w:p>
    <w:p>
      <w:pPr>
        <w:pStyle w:val="01parapoint"/>
        <w:numPr>
          <w:ilvl w:val="0"/>
          <w:numId w:val="5"/>
        </w:numPr>
        <w:ind w:hanging="0" w:start="0"/>
        <w:rPr/>
      </w:pPr>
      <w:r>
        <w:rPr/>
        <w:t>The SEC should pull together the various efforts on improving reporting and facilitate the creation of a framework for the voluntary supplemental reporting of intangible assets, operating performance measures and other relevant forward looking information.</w:t>
      </w:r>
    </w:p>
    <w:p>
      <w:pPr>
        <w:pStyle w:val="01parapoint"/>
        <w:numPr>
          <w:ilvl w:val="0"/>
          <w:numId w:val="5"/>
        </w:numPr>
        <w:ind w:hanging="0" w:start="0"/>
        <w:rPr/>
      </w:pPr>
      <w:r>
        <w:rPr/>
        <w:t>The government should take actions to create an environment that encourages innovative disclosures by companies by reducing the risks associated with such disclosures (whether such risks are real or perceived they have chilling effect on disclosure).  Of course, such an environment should protect investors against intentional deceit by companies.</w:t>
      </w:r>
    </w:p>
    <w:p>
      <w:pPr>
        <w:pStyle w:val="Heading3"/>
        <w:ind w:hanging="0" w:start="0"/>
        <w:rPr/>
      </w:pPr>
      <w:r>
        <w:rPr/>
        <w:t>Create Framework for Voluntary Supplemental Reporting of Intangible Assets and Operating Performance Measures</w:t>
      </w:r>
    </w:p>
    <w:p>
      <w:pPr>
        <w:pStyle w:val="Normal"/>
        <w:rPr/>
      </w:pPr>
      <w:r>
        <w:rPr/>
        <w:t>Various studies, some completed, some in progress, have been developing perspectives on various aspects of company reporting, including reporting about intangible assets.  These reports, while often more technical in nature, broadly align with our own conclusions. For example, the</w:t>
      </w:r>
      <w:r>
        <w:rPr>
          <w:i/>
          <w:iCs/>
        </w:rPr>
        <w:t xml:space="preserve"> Business Reporting Research Project</w:t>
      </w:r>
      <w:r>
        <w:rPr/>
        <w:t xml:space="preserve">, sponsored by the Financial Accounting Standards Board (FASB), found that while many leading companies are voluntarily disclosing extensive information that is important to investors, there is substantial room for additional reporting about intangible assets and forward looking data. We recommend that the SEC pull together this and other work to create a framework for voluntary supplemental reporting for intangible assets, operating performance measures and other forward looking information.  One way to do this would be for the SEC to issue a “concept release” to solicit widespread comments from the business and professional community on the most important aspects of the work done so far in order to facilitate next steps. </w:t>
      </w:r>
    </w:p>
    <w:p>
      <w:pPr>
        <w:pStyle w:val="Normal"/>
        <w:rPr/>
      </w:pPr>
      <w:r>
        <w:rPr/>
        <w:t>We suggest that such a framework for supplemental reporting should be driven by the following considerations:</w:t>
      </w:r>
    </w:p>
    <w:p>
      <w:pPr>
        <w:pStyle w:val="Normal"/>
        <w:rPr/>
      </w:pPr>
      <w:r>
        <w:rPr>
          <w:b/>
          <w:bCs/>
        </w:rPr>
        <w:t>1.  Supplemental Reporting, Not A Replacement for GAAP.</w:t>
      </w:r>
      <w:r>
        <w:rPr/>
        <w:t xml:space="preserve">  Efforts in this area should be directed to developing a framework for </w:t>
      </w:r>
      <w:r>
        <w:rPr>
          <w:i/>
        </w:rPr>
        <w:t>supplemental</w:t>
      </w:r>
      <w:r>
        <w:rPr/>
        <w:t xml:space="preserve"> reporting by companies about intangible assets and related operating performance measures.  In other words, the focus should be on the extra information that companies may choose to provide to investors, in addition to the GAAP-based financial statements that are currently reported. Of course, the task force believes potential improvements in GAAP itself should always be under consideration. We would be concerned, however, about delaying the implementation of supplemental reporting if it was combined with controversial changes to GAAP.</w:t>
      </w:r>
    </w:p>
    <w:p>
      <w:pPr>
        <w:pStyle w:val="Normal"/>
        <w:rPr/>
      </w:pPr>
      <w:r>
        <w:rPr/>
        <w:t>Our emphasis on supplemental reporting is based on our analysis of what information investors want and need to value companies.  Investors value companies based on their assessment of a company’s ability to generate sustained future profits and cash flow.  Investors use information about intangible assets, operating performance measures and other forward looking information to develop their assessments of a company’s future performance.</w:t>
      </w:r>
    </w:p>
    <w:p>
      <w:pPr>
        <w:pStyle w:val="Normal"/>
        <w:rPr/>
      </w:pPr>
      <w:r>
        <w:rPr/>
        <w:t>The impact and valuation of intangible assets has been spotlighted in the business press and financial community over the last several years.  Our view is that companies should not attempt to value intangibles and add them to the balance sheet.  It is more useful to investors for companies to provide information about intangible assets that will help them assess the impact of the intangibles on future profits and cash flow.</w:t>
      </w:r>
    </w:p>
    <w:p>
      <w:pPr>
        <w:pStyle w:val="Normal"/>
        <w:rPr/>
      </w:pPr>
      <w:r>
        <w:rPr/>
      </w:r>
    </w:p>
    <w:p>
      <w:pPr>
        <w:pStyle w:val="Normal"/>
        <w:rPr/>
      </w:pPr>
      <w:r>
        <w:rPr>
          <w:b/>
          <w:bCs/>
        </w:rPr>
        <w:t xml:space="preserve">2.  Common Language, Not a List of Prescribed Measures.  </w:t>
      </w:r>
      <w:r>
        <w:rPr/>
        <w:t>The framework for supplemental reporting should create a common language for companies and investors.  It should be not be a list of prescribed measures (e.g., number of patents, number of engineers in R&amp;D, percent of sales from new products, etc.) that all companies must report on a regular basis.  The task force believes that there is too much diversity of useful information that varies across industries and companies for any predefined set of measures to be helpful for investors.  Nevertheless, there is a strong case for investors’ being better able to compare information across companies in the same industry on the basis of clearer and more consistent measures. In other words, we support description, dissemination, and standardization of best practices, not additional regulation.  For example, the number of patents or percent of sales from new products may be helpful to understand the potential performance of a high-tech manufacturing company, but totally irrelevant for a retailer.</w:t>
      </w:r>
    </w:p>
    <w:p>
      <w:pPr>
        <w:pStyle w:val="Normal"/>
        <w:rPr/>
      </w:pPr>
      <w:r>
        <w:rPr/>
        <w:t xml:space="preserve">We recognize that not all companies will adopt voluntarily the best practices of their industry, at least not initially.  But the benefits of a flexible, voluntary system outweigh the risk of lack of disclosure or selective disclosure by some companies.  Over the years, the power of investors has increased substantially.  We believe this trend will continue.  Companies that lag in their disclosures will see their share prices suffer. </w:t>
      </w:r>
    </w:p>
    <w:p>
      <w:pPr>
        <w:pStyle w:val="Normal"/>
        <w:rPr/>
      </w:pPr>
      <w:r>
        <w:rPr>
          <w:b/>
          <w:bCs/>
        </w:rPr>
        <w:t xml:space="preserve">3.  Linked to Value Creation and Providing Comparability. </w:t>
      </w:r>
      <w:r>
        <w:rPr/>
        <w:t xml:space="preserve"> The framework for supplemental reporting should provide a language and process to help companies explain in a consistent way how their business creates value and help improve comparability across companies in the same industry.  Such a framework would likely include the following components:</w:t>
      </w:r>
    </w:p>
    <w:p>
      <w:pPr>
        <w:pStyle w:val="01parapoint"/>
        <w:numPr>
          <w:ilvl w:val="0"/>
          <w:numId w:val="5"/>
        </w:numPr>
        <w:ind w:hanging="0" w:start="0"/>
        <w:rPr/>
      </w:pPr>
      <w:r>
        <w:rPr/>
        <w:t>A standard approach that companies could use to describe their business system and value creation process (leaving plenty of room for companies to tailor specific features to their needs). Such an approach might describe how companies create value in a generic sense.  Companies could then select and focus their disclosure on those components that are most relevant to their business.  For example, companies could use the approach to systematically analyze and identify intangibles related to discovery, implementation and commercialization</w:t>
      </w:r>
      <w:r>
        <w:rPr>
          <w:rStyle w:val="FootnoteCharacters"/>
          <w:rStyle w:val="FootnoteReference"/>
        </w:rPr>
        <w:footnoteReference w:id="4"/>
      </w:r>
      <w:r>
        <w:rPr/>
        <w:t>.  A telecommunications equipment supplier might highlight discovery and its product development efforts.  An on-line retailer might focus on brand building and vendor relationships.  While a number of analytical approaches have been proposed, none has yet to gain universal acceptance.</w:t>
      </w:r>
    </w:p>
    <w:p>
      <w:pPr>
        <w:pStyle w:val="01parapoint"/>
        <w:numPr>
          <w:ilvl w:val="0"/>
          <w:numId w:val="5"/>
        </w:numPr>
        <w:ind w:hanging="0" w:start="0"/>
        <w:rPr/>
      </w:pPr>
      <w:r>
        <w:rPr/>
        <w:t>Standard terminology for common intangibles and operating performance measures, along with guidelines for how to calculate key measures.  For example, the reporting framework could define a measure such as acquisition cost per customer and a standard method for calculating it.  Companies using the standard definition in their reporting could simply refer to the standard rather than having to explain their calculations.  We would like to see standards emerge from industry practice, rather than be mandated prior to concrete experience.</w:t>
      </w:r>
    </w:p>
    <w:p>
      <w:pPr>
        <w:pStyle w:val="01parapoint"/>
        <w:numPr>
          <w:ilvl w:val="0"/>
          <w:numId w:val="5"/>
        </w:numPr>
        <w:ind w:hanging="0" w:start="0"/>
        <w:rPr/>
      </w:pPr>
      <w:r>
        <w:rPr/>
        <w:t>Comprehensive examples of best practices, including business system descriptions, reporting of intangibles and operating metrics.  This would include examples from different types of industries showing how companies might describe their sources of value creation (what makes them distinctive) along with specific metrics related to intangibles and operations (level of detail, nature of disclosure).</w:t>
      </w:r>
    </w:p>
    <w:p>
      <w:pPr>
        <w:pStyle w:val="01parapoint"/>
        <w:numPr>
          <w:ilvl w:val="0"/>
          <w:numId w:val="5"/>
        </w:numPr>
        <w:ind w:hanging="0" w:start="0"/>
        <w:rPr/>
      </w:pPr>
      <w:r>
        <w:rPr/>
        <w:t>Suggestions on how industry groups might voluntarily develop tailored languages/definitions for their industries.</w:t>
      </w:r>
    </w:p>
    <w:p>
      <w:pPr>
        <w:pStyle w:val="Normal"/>
        <w:rPr/>
      </w:pPr>
      <w:r>
        <w:rPr/>
        <w:t>We acknowledge that our approach, which is based on voluntary disclosure, will not achieve complete comparability from company to company.  Nonetheless, we think that enough companies will improve their disclosure for investors to benefit substantially.</w:t>
      </w:r>
    </w:p>
    <w:p>
      <w:pPr>
        <w:pStyle w:val="Heading3"/>
        <w:ind w:hanging="0" w:start="0"/>
        <w:rPr/>
      </w:pPr>
      <w:r>
        <w:rPr/>
        <w:t>Create an Environment that Encourages Innovation in Disclosures</w:t>
      </w:r>
    </w:p>
    <w:p>
      <w:pPr>
        <w:pStyle w:val="Normal"/>
        <w:rPr/>
      </w:pPr>
      <w:r>
        <w:rPr/>
        <w:t>In addition to working to create a systematic approach to disclosures about intangible assets and operating performance metrics, the government should take as many actions as it can to create an environment that encourages innovative disclosures by reducing the risks associated with such disclosures.  Such an environment, of course, must continue to protect investors against intentional deceit by companies.</w:t>
      </w:r>
    </w:p>
    <w:p>
      <w:pPr>
        <w:pStyle w:val="Normal"/>
        <w:rPr/>
      </w:pPr>
      <w:r>
        <w:rPr/>
        <w:t>Many task force members believe that the litigious climate in the US discourages companies from experimenting with supplemental disclosures.  This concern remains despite efforts such as the introduction of safe harbor provisions for forward looking information that were introduced by the Private Securities Litigation Reform Act of 1995.</w:t>
      </w:r>
    </w:p>
    <w:p>
      <w:pPr>
        <w:pStyle w:val="Normal"/>
        <w:rPr/>
      </w:pPr>
      <w:r>
        <w:rPr/>
        <w:t>Accordingly, we support renewed efforts to protect companies who are willing to disclose more information, much of it “soft” and speculative in nature.  The government should start from the presumption that, in today’s economy, investors need more information and different types of information that cannot be adequately described by regulation.  Companies should be permitted to provide more speculative, hard to measure information, as long as they warn investors that the information is speculative and provide explicit definitions about how such information is constructed.</w:t>
      </w:r>
    </w:p>
    <w:p>
      <w:pPr>
        <w:pStyle w:val="Normal"/>
        <w:rPr/>
      </w:pPr>
      <w:r>
        <w:rPr/>
        <w:t>Specific ideas for creating a less risky environment for disclosure are listed below.  As the task force did not include any legal experts, these ideas are merely suggestions from a layman’s viewpoint.  In addition, we realize that some of these ideas would represent radical changes from our current legal system.  They might also create differences between securities law and other laws.  Nevertheless, we believe that ideas such as these should be surfaced and debated.  Specific ideas for consideration might include:</w:t>
      </w:r>
    </w:p>
    <w:p>
      <w:pPr>
        <w:pStyle w:val="01parapoint"/>
        <w:numPr>
          <w:ilvl w:val="0"/>
          <w:numId w:val="5"/>
        </w:numPr>
        <w:ind w:hanging="0" w:start="0"/>
        <w:rPr/>
      </w:pPr>
      <w:r>
        <w:rPr/>
        <w:t>Expand the safe harbor provisions of the PSLRA of 1995 for disclosures of forward looking information and softer historical information about intangible assets and operating performance indicators.  For example, a broader prohibition against private suits could be considered.  Even more ambitious would be the creation of a special section in investor communications (annual reports, investors presentations, company web sites) that would be entirely exempt from private suits.  Investors would be cautioned about the lack of remedies they would have with respect to the information in that section.</w:t>
      </w:r>
    </w:p>
    <w:p>
      <w:pPr>
        <w:pStyle w:val="01parapoint"/>
        <w:numPr>
          <w:ilvl w:val="0"/>
          <w:numId w:val="5"/>
        </w:numPr>
        <w:ind w:hanging="0" w:start="0"/>
        <w:rPr/>
      </w:pPr>
      <w:r>
        <w:rPr/>
        <w:t>Reduce the uncertainty about judicial outcomes and discourage questionable suits through structural measures.  For example, one concern is that there is too much inconsistency in how judges interpret certain statutes and apply the law.  This uncertainty encourages plaintiff lawyers to pursue suits on the chance that they will get a judge who is naturally sympathetic to their point of view.  One solution might be to create a panel of specially trained or knowledgeable judges to hear securities cases on a more consistent basis.  Another solution might be to provide more explicit directions on the discovery process (how parties to a case are allowed to obtain information from opposing side).</w:t>
      </w:r>
    </w:p>
    <w:p>
      <w:pPr>
        <w:pStyle w:val="Normal"/>
        <w:rPr/>
      </w:pPr>
      <w:r>
        <w:rPr/>
        <w:t>We would encourage the SEC to use the full range of its relationships with the business and investment community to communicate its support for better disclosure and to solicit input on how to create a more supportive environment.  The task force recommends that the SEC facilitate the establishment of a group of experts, representing investors, companies, accountants, and legal experts, to make detailed recommendations.  This group should address the following issues:</w:t>
      </w:r>
    </w:p>
    <w:p>
      <w:pPr>
        <w:pStyle w:val="01parapoint"/>
        <w:numPr>
          <w:ilvl w:val="0"/>
          <w:numId w:val="5"/>
        </w:numPr>
        <w:ind w:hanging="0" w:start="0"/>
        <w:rPr/>
      </w:pPr>
      <w:r>
        <w:rPr/>
        <w:t>Examine the existing safe harbor provisions.  How have they worked, how have they been interpreted by the courts, what has been their impact on disclosure?</w:t>
      </w:r>
    </w:p>
    <w:p>
      <w:pPr>
        <w:pStyle w:val="01parapoint"/>
        <w:numPr>
          <w:ilvl w:val="0"/>
          <w:numId w:val="5"/>
        </w:numPr>
        <w:ind w:hanging="0" w:start="0"/>
        <w:rPr/>
      </w:pPr>
      <w:r>
        <w:rPr/>
        <w:t>Assess the degree to which current safe harbor provisions accommodate reporting on intangibles and other forward looking information and how they could be expanded, if possible (or necessary).</w:t>
      </w:r>
    </w:p>
    <w:p>
      <w:pPr>
        <w:pStyle w:val="01parapoint"/>
        <w:numPr>
          <w:ilvl w:val="0"/>
          <w:numId w:val="5"/>
        </w:numPr>
        <w:ind w:hanging="0" w:start="0"/>
        <w:rPr/>
      </w:pPr>
      <w:r>
        <w:rPr/>
        <w:t xml:space="preserve">Define what information could or should be included or excluded from the safe harbor provisions. Develop a practical format for presenting information subject to the safe harbor in different investor communications (including SEC filings, information on a company’s web site, and presentations to investors). </w:t>
      </w:r>
    </w:p>
    <w:p>
      <w:pPr>
        <w:pStyle w:val="01parapoint"/>
        <w:numPr>
          <w:ilvl w:val="0"/>
          <w:numId w:val="5"/>
        </w:numPr>
        <w:ind w:hanging="0" w:start="0"/>
        <w:rPr/>
      </w:pPr>
      <w:r>
        <w:rPr/>
        <w:t>Examine other approaches to reducing risks for well-intentioned companies such as some of the ideas described above.</w:t>
      </w:r>
    </w:p>
    <w:p>
      <w:pPr>
        <w:pStyle w:val="Heading2"/>
        <w:ind w:hanging="0" w:start="0"/>
        <w:rPr/>
      </w:pPr>
      <w:r>
        <w:rPr/>
        <w:t xml:space="preserve">Other Issues Discussed by Task Force   </w:t>
      </w:r>
    </w:p>
    <w:p>
      <w:pPr>
        <w:pStyle w:val="Normal"/>
        <w:rPr/>
      </w:pPr>
      <w:r>
        <w:rPr/>
        <w:t>During the course of its discussions, the task force considered a number of other issues. (See Attachment C for more on these issues). In summary:</w:t>
      </w:r>
    </w:p>
    <w:p>
      <w:pPr>
        <w:pStyle w:val="01parapoint"/>
        <w:numPr>
          <w:ilvl w:val="0"/>
          <w:numId w:val="5"/>
        </w:numPr>
        <w:ind w:hanging="0" w:start="0"/>
        <w:rPr/>
      </w:pPr>
      <w:r>
        <w:rPr/>
        <w:t>We favored more use of the Internet to communicate with investors.  For example, we support efforts to develop a computer-readable financial markup language to facilitate easy communication, exchange, and analysis of accounting data.</w:t>
      </w:r>
    </w:p>
    <w:p>
      <w:pPr>
        <w:pStyle w:val="01parapoint"/>
        <w:numPr>
          <w:ilvl w:val="0"/>
          <w:numId w:val="5"/>
        </w:numPr>
        <w:ind w:hanging="0" w:start="0"/>
        <w:rPr/>
      </w:pPr>
      <w:r>
        <w:rPr/>
        <w:t>We talked about the new regulation for Fair Disclosure (Regulation FD), with some members supporting the regulation and others believing that the regulation would inhibit disclosure.  Nearly all, however, suggested a careful evaluation of the impact of the regulation as evidence becomes available.</w:t>
      </w:r>
    </w:p>
    <w:p>
      <w:pPr>
        <w:pStyle w:val="01parapoint"/>
        <w:numPr>
          <w:ilvl w:val="0"/>
          <w:numId w:val="5"/>
        </w:numPr>
        <w:ind w:hanging="0" w:start="0"/>
        <w:rPr/>
      </w:pPr>
      <w:r>
        <w:rPr/>
        <w:t>We debated the idea of mandated third party verification of non-financial disclosures, but ultimately concluded that the difficulties and substantial costs of third party verification would outweigh the relatively small improvements expected.  We expect that third party verification of non-financial disclosures will occur voluntarily, due to forces of comparative advantage and credibility where it is feasible and cost effective.  For example, there are a number of firms that provide third party verification services for Internet marketing programs already.</w:t>
      </w:r>
    </w:p>
    <w:p>
      <w:pPr>
        <w:pStyle w:val="01parapoint"/>
        <w:numPr>
          <w:ilvl w:val="0"/>
          <w:numId w:val="5"/>
        </w:numPr>
        <w:ind w:hanging="0" w:start="0"/>
        <w:rPr/>
      </w:pPr>
      <w:r>
        <w:rPr/>
        <w:t>Our discussion of market volatility and the levelness of the playing field suggested that better disclosure by companies was a minor factor in these issues.</w:t>
      </w:r>
    </w:p>
    <w:p>
      <w:pPr>
        <w:pStyle w:val="01parapoint"/>
        <w:numPr>
          <w:ilvl w:val="0"/>
          <w:numId w:val="5"/>
        </w:numPr>
        <w:ind w:hanging="0" w:start="0"/>
        <w:rPr/>
      </w:pPr>
      <w:r>
        <w:rPr/>
        <w:t>We did not reach consensus on whether additional disclosures on the past history of management and founding investors, nor on the issues of accounting treatment for mergers and other combinations, or on accounting treatment for stock options.</w:t>
      </w:r>
    </w:p>
    <w:p>
      <w:pPr>
        <w:pStyle w:val="Normal"/>
        <w:rPr/>
      </w:pPr>
      <w:r>
        <w:rPr/>
      </w:r>
      <w:r>
        <w:br w:type="page"/>
      </w:r>
    </w:p>
    <w:p>
      <w:pPr>
        <w:pStyle w:val="Normal"/>
        <w:rPr>
          <w:sz w:val="44"/>
        </w:rPr>
      </w:pPr>
      <w:r>
        <w:rPr>
          <w:sz w:val="44"/>
        </w:rPr>
        <w:t>Attachment A: Task Force Background and Mandate</w:t>
      </w:r>
    </w:p>
    <w:p>
      <w:pPr>
        <w:pStyle w:val="BodyText"/>
        <w:rPr/>
      </w:pPr>
      <w:r>
        <w:rPr/>
        <w:t>Excerpt from Speech by Chairman Arthur Levitt to The Economic Club of New York, October 18, 1999, entitled "Quality Information: The Lifeblood of Our Markets," which established the task force.</w:t>
      </w:r>
    </w:p>
    <w:p>
      <w:pPr>
        <w:pStyle w:val="Normal"/>
        <w:rPr>
          <w:b/>
        </w:rPr>
      </w:pPr>
      <w:r>
        <w:rPr>
          <w:b/>
        </w:rPr>
      </w:r>
    </w:p>
    <w:p>
      <w:pPr>
        <w:pStyle w:val="Normal"/>
        <w:rPr/>
      </w:pPr>
      <w:r>
        <w:rPr/>
        <w:t>"The dynamic nature of today's capital markets creates issues that increasingly move beyond the bright line of black and white.  New industries, spurred by new services and new technologies, are creating new questions and challenges that must be addressed.  Today, we are witnessing a broad shift from an industrial economy to a more service based one; a shift from bricks and mortar to technology and knowledge.</w:t>
      </w:r>
    </w:p>
    <w:p>
      <w:pPr>
        <w:pStyle w:val="Normal"/>
        <w:rPr/>
      </w:pPr>
      <w:r>
        <w:rPr/>
        <w:t>This has important ramifications for our disclosure and financial reporting models.  We have long had a good idea of how to value manufacturing inventory or assess what a factory is worth.  But today, the value of R&amp;D invested in a software program, or the value of a user base of an Internet shopping site is a lot harder to quantify.  As intangible assets continue to grow in both size and scope, more and more people are questioning whether the true value --and the drivers of that value---is being reflected in a timely manner in publicly available disclosure.</w:t>
      </w:r>
    </w:p>
    <w:p>
      <w:pPr>
        <w:pStyle w:val="Normal"/>
        <w:rPr/>
      </w:pPr>
      <w:r>
        <w:rPr/>
        <w:t>These questions may have some merit.  Groups, past and present including one sponsored by the FASB, have worked on variations of this issue.  Nevertheless, I have asked Professor Jeffrey Garten, Dean of Yale's School of Management, to assemble a group of leaders from the business community, academia, the accounting profession, standard setting bodies, and corporate America to examine expeditiously whether our current business reporting framework can more effectively capture these momentous changes in our economy. But let me be quite clear:  The work of this group is not an invitation to delay any initiative currently underway, especially those involving business combinations.  These projects must be evaluated on their own merits."</w:t>
      </w:r>
    </w:p>
    <w:p>
      <w:pPr>
        <w:pStyle w:val="Heading1"/>
        <w:ind w:hanging="0" w:start="0" w:end="1080"/>
        <w:rPr/>
      </w:pPr>
      <w:r>
        <w:rPr/>
        <w:t>Attachment B:  Task Force Members</w:t>
      </w:r>
    </w:p>
    <w:p>
      <w:pPr>
        <w:pStyle w:val="22numberedparagraph"/>
        <w:tabs>
          <w:tab w:val="clear" w:pos="360"/>
        </w:tabs>
        <w:spacing w:before="0" w:after="0"/>
        <w:rPr>
          <w:u w:val="single"/>
        </w:rPr>
      </w:pPr>
      <w:r>
        <w:rPr/>
        <w:t>CHAIRMAN</w:t>
      </w:r>
    </w:p>
    <w:p>
      <w:pPr>
        <w:pStyle w:val="01parapoint"/>
        <w:numPr>
          <w:ilvl w:val="0"/>
          <w:numId w:val="0"/>
        </w:numPr>
        <w:spacing w:before="0" w:after="0"/>
        <w:ind w:hanging="0" w:start="0"/>
        <w:outlineLvl w:val="9"/>
        <w:rPr/>
      </w:pPr>
      <w:r>
        <w:rPr/>
        <w:t>Jeffrey E. Garten</w:t>
      </w:r>
    </w:p>
    <w:p>
      <w:pPr>
        <w:pStyle w:val="Normal"/>
        <w:spacing w:before="0" w:after="0"/>
        <w:rPr/>
      </w:pPr>
      <w:r>
        <w:rPr/>
        <w:t>Dean</w:t>
      </w:r>
    </w:p>
    <w:p>
      <w:pPr>
        <w:pStyle w:val="Normal"/>
        <w:spacing w:before="0" w:after="0"/>
        <w:rPr/>
      </w:pPr>
      <w:r>
        <w:rPr/>
        <w:t>Yale School of Management</w:t>
      </w:r>
    </w:p>
    <w:p>
      <w:pPr>
        <w:pStyle w:val="Normal"/>
        <w:spacing w:before="0" w:after="0"/>
        <w:rPr>
          <w:b/>
          <w:u w:val="single"/>
        </w:rPr>
      </w:pPr>
      <w:r>
        <w:rPr>
          <w:b/>
          <w:u w:val="single"/>
        </w:rPr>
      </w:r>
    </w:p>
    <w:p>
      <w:pPr>
        <w:pStyle w:val="22numberedparagraph"/>
        <w:tabs>
          <w:tab w:val="clear" w:pos="360"/>
        </w:tabs>
        <w:spacing w:before="0" w:after="0"/>
        <w:rPr/>
      </w:pPr>
      <w:r>
        <w:rPr/>
        <w:t>PROJECT DIRECTOR</w:t>
      </w:r>
    </w:p>
    <w:p>
      <w:pPr>
        <w:pStyle w:val="01parapoint"/>
        <w:numPr>
          <w:ilvl w:val="0"/>
          <w:numId w:val="0"/>
        </w:numPr>
        <w:spacing w:before="0" w:after="0"/>
        <w:ind w:hanging="0" w:start="0"/>
        <w:outlineLvl w:val="9"/>
        <w:rPr/>
      </w:pPr>
      <w:r>
        <w:rPr/>
        <w:t>Timothy M. Koller</w:t>
      </w:r>
    </w:p>
    <w:p>
      <w:pPr>
        <w:pStyle w:val="Normal"/>
        <w:spacing w:before="0" w:after="0"/>
        <w:rPr/>
      </w:pPr>
      <w:r>
        <w:rPr/>
        <w:t>Principal</w:t>
      </w:r>
    </w:p>
    <w:p>
      <w:pPr>
        <w:pStyle w:val="Normal"/>
        <w:spacing w:before="0" w:after="0"/>
        <w:rPr/>
      </w:pPr>
      <w:r>
        <w:rPr/>
        <w:t>McKinsey &amp; Company, Inc.</w:t>
      </w:r>
    </w:p>
    <w:p>
      <w:pPr>
        <w:pStyle w:val="Heading2"/>
        <w:spacing w:before="0" w:after="0"/>
        <w:ind w:hanging="0" w:start="0"/>
        <w:rPr/>
      </w:pPr>
      <w:r>
        <w:rPr/>
      </w:r>
    </w:p>
    <w:p>
      <w:pPr>
        <w:pStyle w:val="Heading2"/>
        <w:spacing w:before="0" w:after="0"/>
        <w:ind w:hanging="0" w:start="0"/>
        <w:rPr/>
      </w:pPr>
      <w:r>
        <w:rPr/>
        <w:t>Members</w:t>
      </w:r>
    </w:p>
    <w:p>
      <w:pPr>
        <w:pStyle w:val="Normal"/>
        <w:spacing w:before="0" w:after="0"/>
        <w:rPr/>
      </w:pPr>
      <w:r>
        <w:rPr/>
      </w:r>
    </w:p>
    <w:p>
      <w:pPr>
        <w:pStyle w:val="01parapoint"/>
        <w:numPr>
          <w:ilvl w:val="0"/>
          <w:numId w:val="0"/>
        </w:numPr>
        <w:spacing w:before="0" w:after="0"/>
        <w:ind w:hanging="0" w:start="0"/>
        <w:outlineLvl w:val="9"/>
        <w:rPr/>
      </w:pPr>
      <w:r>
        <w:rPr/>
        <w:t>G. Leonard Baker</w:t>
      </w:r>
    </w:p>
    <w:p>
      <w:pPr>
        <w:pStyle w:val="Normal"/>
        <w:spacing w:before="0" w:after="0"/>
        <w:rPr/>
      </w:pPr>
      <w:r>
        <w:rPr/>
        <w:t>Managing Director</w:t>
      </w:r>
    </w:p>
    <w:p>
      <w:pPr>
        <w:pStyle w:val="Normal"/>
        <w:spacing w:before="0" w:after="0"/>
        <w:rPr/>
      </w:pPr>
      <w:r>
        <w:rPr/>
        <w:t>Sutter Hill Ventures</w:t>
      </w:r>
    </w:p>
    <w:p>
      <w:pPr>
        <w:pStyle w:val="Normal"/>
        <w:spacing w:before="0" w:after="0"/>
        <w:rPr/>
      </w:pPr>
      <w:r>
        <w:rPr/>
      </w:r>
    </w:p>
    <w:p>
      <w:pPr>
        <w:pStyle w:val="Normal"/>
        <w:spacing w:before="0" w:after="0"/>
        <w:rPr/>
      </w:pPr>
      <w:r>
        <w:rPr/>
        <w:t>John Doerr</w:t>
      </w:r>
    </w:p>
    <w:p>
      <w:pPr>
        <w:pStyle w:val="Normal"/>
        <w:spacing w:before="0" w:after="0"/>
        <w:rPr/>
      </w:pPr>
      <w:r>
        <w:rPr/>
        <w:t>Partner</w:t>
      </w:r>
    </w:p>
    <w:p>
      <w:pPr>
        <w:pStyle w:val="Normal"/>
        <w:spacing w:before="0" w:after="0"/>
        <w:rPr/>
      </w:pPr>
      <w:r>
        <w:rPr/>
        <w:t>Kleiner Perkins Caufield &amp; Byers</w:t>
      </w:r>
    </w:p>
    <w:p>
      <w:pPr>
        <w:pStyle w:val="Normal"/>
        <w:spacing w:before="0" w:after="0"/>
        <w:rPr/>
      </w:pPr>
      <w:r>
        <w:rPr/>
      </w:r>
    </w:p>
    <w:p>
      <w:pPr>
        <w:pStyle w:val="Normal"/>
        <w:spacing w:before="0" w:after="0"/>
        <w:rPr/>
      </w:pPr>
      <w:r>
        <w:rPr/>
        <w:t>Rob Glaser</w:t>
      </w:r>
    </w:p>
    <w:p>
      <w:pPr>
        <w:pStyle w:val="Normal"/>
        <w:spacing w:before="0" w:after="0"/>
        <w:rPr/>
      </w:pPr>
      <w:r>
        <w:rPr/>
        <w:t>Chairman and CEO</w:t>
      </w:r>
    </w:p>
    <w:p>
      <w:pPr>
        <w:pStyle w:val="Normal"/>
        <w:spacing w:before="0" w:after="0"/>
        <w:rPr/>
      </w:pPr>
      <w:r>
        <w:rPr/>
        <w:t>RealNetworks, Inc.</w:t>
      </w:r>
    </w:p>
    <w:p>
      <w:pPr>
        <w:pStyle w:val="Normal"/>
        <w:spacing w:before="0" w:after="0"/>
        <w:rPr/>
      </w:pPr>
      <w:r>
        <w:rPr/>
      </w:r>
    </w:p>
    <w:p>
      <w:pPr>
        <w:pStyle w:val="Normal"/>
        <w:spacing w:before="0" w:after="0"/>
        <w:rPr/>
      </w:pPr>
      <w:r>
        <w:rPr/>
        <w:t>Henry Kaufman</w:t>
      </w:r>
    </w:p>
    <w:p>
      <w:pPr>
        <w:pStyle w:val="Normal"/>
        <w:spacing w:before="0" w:after="0"/>
        <w:rPr/>
      </w:pPr>
      <w:r>
        <w:rPr/>
        <w:t>President</w:t>
      </w:r>
    </w:p>
    <w:p>
      <w:pPr>
        <w:pStyle w:val="Normal"/>
        <w:spacing w:before="0" w:after="0"/>
        <w:rPr/>
      </w:pPr>
      <w:r>
        <w:rPr/>
        <w:t>Henry Kaufman &amp; Company, Inc.</w:t>
      </w:r>
    </w:p>
    <w:p>
      <w:pPr>
        <w:pStyle w:val="Normal"/>
        <w:spacing w:before="0" w:after="0"/>
        <w:rPr/>
      </w:pPr>
      <w:r>
        <w:rPr/>
      </w:r>
    </w:p>
    <w:p>
      <w:pPr>
        <w:pStyle w:val="Normal"/>
        <w:spacing w:before="0" w:after="0"/>
        <w:rPr/>
      </w:pPr>
      <w:r>
        <w:rPr/>
        <w:t>Kenneth Lay</w:t>
      </w:r>
    </w:p>
    <w:p>
      <w:pPr>
        <w:pStyle w:val="Normal"/>
        <w:spacing w:before="0" w:after="0"/>
        <w:rPr/>
      </w:pPr>
      <w:r>
        <w:rPr/>
        <w:t>Chairman of the Board</w:t>
      </w:r>
    </w:p>
    <w:p>
      <w:pPr>
        <w:pStyle w:val="Normal"/>
        <w:spacing w:before="0" w:after="0"/>
        <w:rPr/>
      </w:pPr>
      <w:r>
        <w:rPr/>
        <w:t>ENRON</w:t>
      </w:r>
    </w:p>
    <w:p>
      <w:pPr>
        <w:pStyle w:val="Normal"/>
        <w:spacing w:before="0" w:after="0"/>
        <w:rPr/>
      </w:pPr>
      <w:r>
        <w:rPr/>
      </w:r>
    </w:p>
    <w:p>
      <w:pPr>
        <w:pStyle w:val="Normal"/>
        <w:spacing w:before="0" w:after="0"/>
        <w:rPr/>
      </w:pPr>
      <w:r>
        <w:rPr/>
        <w:t>Baruch Lev</w:t>
      </w:r>
    </w:p>
    <w:p>
      <w:pPr>
        <w:pStyle w:val="Normal"/>
        <w:spacing w:before="0" w:after="0"/>
        <w:rPr/>
      </w:pPr>
      <w:r>
        <w:rPr/>
        <w:t>Philip Bardes Professor of Accounting and Finance</w:t>
      </w:r>
    </w:p>
    <w:p>
      <w:pPr>
        <w:pStyle w:val="Normal"/>
        <w:spacing w:before="0" w:after="0"/>
        <w:rPr/>
      </w:pPr>
      <w:r>
        <w:rPr/>
        <w:t>Director, Vincent C. Ross Institute of Accounting Research</w:t>
      </w:r>
    </w:p>
    <w:p>
      <w:pPr>
        <w:pStyle w:val="Normal"/>
        <w:spacing w:before="0" w:after="0"/>
        <w:rPr/>
      </w:pPr>
      <w:r>
        <w:rPr/>
        <w:t>Leonard N. Stern School of Business</w:t>
      </w:r>
    </w:p>
    <w:p>
      <w:pPr>
        <w:pStyle w:val="Normal"/>
        <w:spacing w:before="0" w:after="0"/>
        <w:rPr/>
      </w:pPr>
      <w:r>
        <w:rPr/>
        <w:t>New York University</w:t>
      </w:r>
    </w:p>
    <w:p>
      <w:pPr>
        <w:pStyle w:val="Normal"/>
        <w:spacing w:before="0" w:after="0"/>
        <w:rPr/>
      </w:pPr>
      <w:r>
        <w:rPr/>
      </w:r>
    </w:p>
    <w:p>
      <w:pPr>
        <w:pStyle w:val="Normal"/>
        <w:spacing w:before="0" w:after="0"/>
        <w:rPr/>
      </w:pPr>
      <w:r>
        <w:rPr/>
      </w:r>
    </w:p>
    <w:p>
      <w:pPr>
        <w:pStyle w:val="Normal"/>
        <w:spacing w:before="0" w:after="0"/>
        <w:rPr/>
      </w:pPr>
      <w:r>
        <w:rPr/>
        <w:t>Nancy Peretsman</w:t>
      </w:r>
    </w:p>
    <w:p>
      <w:pPr>
        <w:pStyle w:val="Normal"/>
        <w:spacing w:before="0" w:after="0"/>
        <w:rPr/>
      </w:pPr>
      <w:r>
        <w:rPr/>
        <w:t>Executive Vice President and Managing Director</w:t>
      </w:r>
    </w:p>
    <w:p>
      <w:pPr>
        <w:pStyle w:val="Normal"/>
        <w:spacing w:before="0" w:after="0"/>
        <w:rPr/>
      </w:pPr>
      <w:r>
        <w:rPr/>
        <w:t>Allen &amp; Company Incorporated</w:t>
      </w:r>
    </w:p>
    <w:p>
      <w:pPr>
        <w:pStyle w:val="Normal"/>
        <w:spacing w:before="0" w:after="0"/>
        <w:rPr/>
      </w:pPr>
      <w:r>
        <w:rPr/>
      </w:r>
    </w:p>
    <w:p>
      <w:pPr>
        <w:pStyle w:val="Normal"/>
        <w:spacing w:before="0" w:after="0"/>
        <w:rPr/>
      </w:pPr>
      <w:r>
        <w:rPr/>
        <w:t>Peter G. Peterson</w:t>
      </w:r>
    </w:p>
    <w:p>
      <w:pPr>
        <w:pStyle w:val="Normal"/>
        <w:spacing w:before="0" w:after="0"/>
        <w:rPr/>
      </w:pPr>
      <w:r>
        <w:rPr/>
        <w:t>Chairman</w:t>
      </w:r>
    </w:p>
    <w:p>
      <w:pPr>
        <w:pStyle w:val="Normal"/>
        <w:spacing w:before="0" w:after="0"/>
        <w:rPr/>
      </w:pPr>
      <w:r>
        <w:rPr/>
        <w:t>The Blackstone Group</w:t>
      </w:r>
    </w:p>
    <w:p>
      <w:pPr>
        <w:pStyle w:val="Normal"/>
        <w:spacing w:before="0" w:after="0"/>
        <w:rPr/>
      </w:pPr>
      <w:r>
        <w:rPr/>
      </w:r>
    </w:p>
    <w:p>
      <w:pPr>
        <w:pStyle w:val="Normal"/>
        <w:spacing w:before="0" w:after="0"/>
        <w:rPr/>
      </w:pPr>
      <w:r>
        <w:rPr/>
        <w:t>Dennis Powell</w:t>
      </w:r>
    </w:p>
    <w:p>
      <w:pPr>
        <w:pStyle w:val="Normal"/>
        <w:spacing w:before="0" w:after="0"/>
        <w:rPr/>
      </w:pPr>
      <w:r>
        <w:rPr/>
        <w:t>Vice President, Corporate Controller</w:t>
      </w:r>
    </w:p>
    <w:p>
      <w:pPr>
        <w:pStyle w:val="Normal"/>
        <w:spacing w:before="0" w:after="0"/>
        <w:rPr/>
      </w:pPr>
      <w:r>
        <w:rPr/>
        <w:t>Cisco Systems, Inc.</w:t>
      </w:r>
    </w:p>
    <w:p>
      <w:pPr>
        <w:pStyle w:val="Normal"/>
        <w:spacing w:before="0" w:after="0"/>
        <w:rPr/>
      </w:pPr>
      <w:r>
        <w:rPr/>
      </w:r>
    </w:p>
    <w:p>
      <w:pPr>
        <w:pStyle w:val="Normal"/>
        <w:spacing w:before="0" w:after="0"/>
        <w:rPr/>
      </w:pPr>
      <w:r>
        <w:rPr/>
        <w:t>David L. Shedlarz</w:t>
      </w:r>
    </w:p>
    <w:p>
      <w:pPr>
        <w:pStyle w:val="Normal"/>
        <w:spacing w:before="0" w:after="0"/>
        <w:rPr/>
      </w:pPr>
      <w:r>
        <w:rPr/>
        <w:t>Executive Vice President &amp; C.F.O.</w:t>
      </w:r>
    </w:p>
    <w:p>
      <w:pPr>
        <w:pStyle w:val="Normal"/>
        <w:spacing w:before="0" w:after="0"/>
        <w:rPr/>
      </w:pPr>
      <w:r>
        <w:rPr/>
        <w:t>Pfizer Inc.</w:t>
      </w:r>
    </w:p>
    <w:p>
      <w:pPr>
        <w:pStyle w:val="Normal"/>
        <w:spacing w:before="0" w:after="0"/>
        <w:rPr/>
      </w:pPr>
      <w:r>
        <w:rPr/>
      </w:r>
    </w:p>
    <w:p>
      <w:pPr>
        <w:pStyle w:val="Normal"/>
        <w:spacing w:before="0" w:after="0"/>
        <w:rPr/>
      </w:pPr>
      <w:r>
        <w:rPr/>
        <w:t>Richard Sherlund</w:t>
      </w:r>
    </w:p>
    <w:p>
      <w:pPr>
        <w:pStyle w:val="Normal"/>
        <w:spacing w:before="0" w:after="0"/>
        <w:rPr/>
      </w:pPr>
      <w:r>
        <w:rPr/>
        <w:t>Managing Director</w:t>
      </w:r>
    </w:p>
    <w:p>
      <w:pPr>
        <w:pStyle w:val="Normal"/>
        <w:spacing w:before="0" w:after="0"/>
        <w:rPr/>
      </w:pPr>
      <w:r>
        <w:rPr/>
        <w:t>Goldman Sachs &amp; Co.</w:t>
      </w:r>
    </w:p>
    <w:p>
      <w:pPr>
        <w:pStyle w:val="Normal"/>
        <w:spacing w:before="0" w:after="0"/>
        <w:rPr/>
      </w:pPr>
      <w:r>
        <w:rPr/>
      </w:r>
    </w:p>
    <w:p>
      <w:pPr>
        <w:pStyle w:val="Normal"/>
        <w:spacing w:before="0" w:after="0"/>
        <w:rPr/>
      </w:pPr>
      <w:r>
        <w:rPr/>
        <w:t>Joseph E. Stiglitz</w:t>
      </w:r>
    </w:p>
    <w:p>
      <w:pPr>
        <w:pStyle w:val="Normal"/>
        <w:spacing w:before="0" w:after="0"/>
        <w:rPr/>
      </w:pPr>
      <w:r>
        <w:rPr/>
        <w:t>Professor of Economics</w:t>
      </w:r>
    </w:p>
    <w:p>
      <w:pPr>
        <w:pStyle w:val="Normal"/>
        <w:spacing w:before="0" w:after="0"/>
        <w:rPr/>
      </w:pPr>
      <w:r>
        <w:rPr/>
        <w:t>Stanford University</w:t>
      </w:r>
    </w:p>
    <w:p>
      <w:pPr>
        <w:pStyle w:val="Normal"/>
        <w:spacing w:before="0" w:after="0"/>
        <w:rPr/>
      </w:pPr>
      <w:r>
        <w:rPr/>
        <w:t>(Former Chairman, Council of Economic Advisors)</w:t>
      </w:r>
    </w:p>
    <w:p>
      <w:pPr>
        <w:pStyle w:val="Normal"/>
        <w:spacing w:before="0" w:after="0"/>
        <w:rPr/>
      </w:pPr>
      <w:r>
        <w:rPr/>
      </w:r>
    </w:p>
    <w:p>
      <w:pPr>
        <w:pStyle w:val="01parapoint"/>
        <w:numPr>
          <w:ilvl w:val="0"/>
          <w:numId w:val="0"/>
        </w:numPr>
        <w:spacing w:before="0" w:after="0"/>
        <w:ind w:hanging="0" w:start="0"/>
        <w:outlineLvl w:val="9"/>
        <w:rPr/>
      </w:pPr>
      <w:r>
        <w:rPr/>
        <w:t>Hal R. Varian</w:t>
      </w:r>
    </w:p>
    <w:p>
      <w:pPr>
        <w:pStyle w:val="Normal"/>
        <w:spacing w:before="0" w:after="0"/>
        <w:rPr/>
      </w:pPr>
      <w:r>
        <w:rPr/>
        <w:t>Dean, School of Information Management and Systems</w:t>
      </w:r>
    </w:p>
    <w:p>
      <w:pPr>
        <w:pStyle w:val="Normal"/>
        <w:spacing w:before="0" w:after="0"/>
        <w:rPr/>
      </w:pPr>
      <w:r>
        <w:rPr/>
        <w:t>University of California at Berkeley</w:t>
      </w:r>
    </w:p>
    <w:p>
      <w:pPr>
        <w:pStyle w:val="Normal"/>
        <w:spacing w:before="0" w:after="0"/>
        <w:rPr/>
      </w:pPr>
      <w:r>
        <w:rPr/>
      </w:r>
    </w:p>
    <w:p>
      <w:pPr>
        <w:pStyle w:val="Heading1"/>
        <w:ind w:hanging="547" w:start="547"/>
        <w:rPr/>
      </w:pPr>
      <w:r>
        <w:rPr/>
        <w:t>Attachment C: Other Issues Discussed</w:t>
      </w:r>
    </w:p>
    <w:p>
      <w:pPr>
        <w:pStyle w:val="Normal"/>
        <w:rPr/>
      </w:pPr>
      <w:r>
        <w:rPr/>
        <w:t>In addition to the recommendations cited earlier, the task force considered a number of other issues.</w:t>
      </w:r>
    </w:p>
    <w:p>
      <w:pPr>
        <w:pStyle w:val="01parapoint"/>
        <w:numPr>
          <w:ilvl w:val="0"/>
          <w:numId w:val="5"/>
        </w:numPr>
        <w:tabs>
          <w:tab w:val="left" w:pos="1040" w:leader="none"/>
        </w:tabs>
        <w:ind w:hanging="288" w:start="1040" w:end="0"/>
        <w:rPr/>
      </w:pPr>
      <w:r>
        <w:rPr/>
        <w:t>The task force noted the dramatic increase in the use of the Internet as a    vehicle for investor relations and applauded this trend.</w:t>
      </w:r>
    </w:p>
    <w:p>
      <w:pPr>
        <w:pStyle w:val="01parapoint"/>
        <w:numPr>
          <w:ilvl w:val="0"/>
          <w:numId w:val="5"/>
        </w:numPr>
        <w:tabs>
          <w:tab w:val="left" w:pos="1051" w:leader="none"/>
        </w:tabs>
        <w:ind w:hanging="288" w:start="1040" w:end="0"/>
        <w:rPr/>
      </w:pPr>
      <w:r>
        <w:rPr/>
        <w:t xml:space="preserve">We talked about the new regulation for Fair Disclosure (Regulation FD) with some members supporting the initiative and others believing that the regulation would inhibit disclosure.  Nearly all suggested a careful evaluation of the impact of the regulation by the SEC as the evidence becomes available. </w:t>
      </w:r>
    </w:p>
    <w:p>
      <w:pPr>
        <w:pStyle w:val="01parapoint"/>
        <w:numPr>
          <w:ilvl w:val="0"/>
          <w:numId w:val="5"/>
        </w:numPr>
        <w:tabs>
          <w:tab w:val="left" w:pos="1040" w:leader="none"/>
        </w:tabs>
        <w:ind w:hanging="288" w:start="1040" w:end="0"/>
        <w:rPr/>
      </w:pPr>
      <w:r>
        <w:rPr/>
        <w:t>We debated the idea of suggesting third party verification of non-financial disclosures, but ultimately concluded that the difficulties and substantial costs of third party verification would not outweigh the relatively small improvements expected.</w:t>
      </w:r>
    </w:p>
    <w:p>
      <w:pPr>
        <w:pStyle w:val="01parapoint"/>
        <w:numPr>
          <w:ilvl w:val="0"/>
          <w:numId w:val="5"/>
        </w:numPr>
        <w:tabs>
          <w:tab w:val="left" w:pos="1051" w:leader="none"/>
        </w:tabs>
        <w:ind w:hanging="288" w:start="1040" w:end="0"/>
        <w:rPr/>
      </w:pPr>
      <w:r>
        <w:rPr/>
        <w:t>We discussed the impact of better disclosure on stock market volatility without conclusion.</w:t>
      </w:r>
    </w:p>
    <w:p>
      <w:pPr>
        <w:pStyle w:val="01parapoint"/>
        <w:numPr>
          <w:ilvl w:val="0"/>
          <w:numId w:val="5"/>
        </w:numPr>
        <w:tabs>
          <w:tab w:val="left" w:pos="1051" w:leader="none"/>
        </w:tabs>
        <w:ind w:hanging="0" w:start="0"/>
        <w:rPr/>
      </w:pPr>
      <w:r>
        <w:rPr/>
        <w:t>Finally, there was no consensus on the following issues:</w:t>
      </w:r>
    </w:p>
    <w:p>
      <w:pPr>
        <w:pStyle w:val="02bullet"/>
        <w:numPr>
          <w:ilvl w:val="0"/>
          <w:numId w:val="14"/>
        </w:numPr>
        <w:ind w:hanging="0" w:start="0"/>
        <w:rPr/>
      </w:pPr>
      <w:r>
        <w:rPr/>
        <w:t>Additional disclosures about management</w:t>
      </w:r>
    </w:p>
    <w:p>
      <w:pPr>
        <w:pStyle w:val="02bullet"/>
        <w:numPr>
          <w:ilvl w:val="0"/>
          <w:numId w:val="14"/>
        </w:numPr>
        <w:ind w:hanging="0" w:start="0"/>
        <w:rPr/>
      </w:pPr>
      <w:r>
        <w:rPr/>
        <w:t>Additional disclosures about founding investors</w:t>
      </w:r>
    </w:p>
    <w:p>
      <w:pPr>
        <w:pStyle w:val="02bullet"/>
        <w:numPr>
          <w:ilvl w:val="0"/>
          <w:numId w:val="14"/>
        </w:numPr>
        <w:ind w:hanging="0" w:start="0"/>
        <w:rPr/>
      </w:pPr>
      <w:r>
        <w:rPr/>
        <w:t>Accounting treatment for business combinations and employee stock options.</w:t>
      </w:r>
    </w:p>
    <w:p>
      <w:pPr>
        <w:pStyle w:val="Heading3"/>
        <w:ind w:hanging="0" w:start="0"/>
        <w:rPr/>
      </w:pPr>
      <w:r>
        <w:rPr/>
        <w:t>Using the Internet to Communicate with Investors</w:t>
      </w:r>
    </w:p>
    <w:p>
      <w:pPr>
        <w:pStyle w:val="Normal"/>
        <w:rPr/>
      </w:pPr>
      <w:r>
        <w:rPr/>
        <w:t>The Internet is changing the way information is supplied to investors.  Through their web sites, companies can now, at virtually no incremental cost, make information available to all investors immediately and simultaneously.  Furthermore, the elimination of the need to print and mail documents means that companies can easily provide more information to investors at no incremental cost.</w:t>
      </w:r>
    </w:p>
    <w:p>
      <w:pPr>
        <w:pStyle w:val="Normal"/>
        <w:rPr/>
      </w:pPr>
      <w:r>
        <w:rPr/>
        <w:t>Internet technology and the explosion of interest in Internet companies has also led to more information being made available to investors about companies from third parties.  In addition to information from companies themselves, investors can learn both facts and opinions about companies from business oriented television networks, investor oriented websites, investor chat rooms, and fact oriented web sites (e.g., Bloomberg, Bridge, etc.).  The volume of information that investors can access can be overwhelming.</w:t>
      </w:r>
    </w:p>
    <w:p>
      <w:pPr>
        <w:pStyle w:val="Normal"/>
        <w:rPr/>
      </w:pPr>
      <w:r>
        <w:rPr/>
        <w:t>Many companies have moved swiftly ahead in experimenting with ways to use the Internet.  The task force hopes that this trend spreads quickly.  While there will be a learning period as companies and investors learn best how to take advantage of the new technologies for investor communications, certain steps can be taken now.</w:t>
      </w:r>
    </w:p>
    <w:p>
      <w:pPr>
        <w:pStyle w:val="Normal"/>
        <w:rPr/>
      </w:pPr>
      <w:r>
        <w:rPr/>
        <w:t>The task force supports simultaneous disclosure of key information to all investors via a company’s web site.  There needs to be a clear dividing line, however, that delineates what must be disclosed simultaneously to all investors over the Internet and private one-to-one conversations.  We would favor limiting immediate disclosure to information that will be in the public domain anyway.  Simultaneous disclosure would probably include SEC filings, annual and quarterly reports, press releases, transcripts of investor presentations (with more than 10 in attendance), conference call recordings or transcripts.</w:t>
      </w:r>
    </w:p>
    <w:p>
      <w:pPr>
        <w:pStyle w:val="Normal"/>
        <w:rPr/>
      </w:pPr>
      <w:r>
        <w:rPr/>
        <w:t>In addition, the task force encourages experimentation with using the Internet for two-way communication between companies and investors.  Typically only professional securities analysts and institutional investors have been able to ask managers questions.  While it would be infeasible for managers to sit down with every investor, there might be ways that companies could use the Internet to provide two-way communication with investors.  For example, the company could post each week or month the 10-20 most frequently asked questions and answers.  The company could also commit to posting frequently asked questions that it did not want to answer and explain why (or not as the case may be).</w:t>
      </w:r>
    </w:p>
    <w:p>
      <w:pPr>
        <w:pStyle w:val="Heading3"/>
        <w:ind w:hanging="0" w:start="0"/>
        <w:rPr/>
      </w:pPr>
      <w:r>
        <w:rPr/>
        <w:t xml:space="preserve">Regulation FD  </w:t>
      </w:r>
    </w:p>
    <w:p>
      <w:pPr>
        <w:pStyle w:val="Normal"/>
        <w:rPr/>
      </w:pPr>
      <w:r>
        <w:rPr/>
        <w:t>During the course of the task force's deliberations, the SEC announced a regulation called "Fair Disclosure" that in essence required all companies to disclose material financial information to the public at the same time as it did to analysts.  Several members of the task force support the regulation, while others believe this regulation is misguided because, in their view, it will -- indeed, already has -- chilled the environment for disclosure.  The reason is that top corporate executives will fear liability and substantially reduce their communication with market participants.  Several task force members believe that the newest and most dynamic companies often have novel, complex, and rapidly evolving business models.  To value these companies, analysts and investors must go beyond reported earnings and other measures prescribed by GAAP.  They must have broad and open discussions with company management to understand new business models.  These discussions must go beyond what can be disclosed to the general public—a group that includes both competitors and those who lack the context to interpret soft information.  There is concern, too, that corporate executives could delay market sensitive information that they once shared with Wall Street analysts and big shareholders.</w:t>
      </w:r>
    </w:p>
    <w:p>
      <w:pPr>
        <w:pStyle w:val="Normal"/>
        <w:rPr/>
      </w:pPr>
      <w:r>
        <w:rPr/>
        <w:t>Among the task force members, there was a concern that Regulation FD is already leading to a formal process that will become more ritualistic and less relevant and that the informal process, which is essential to the markets, will become more occult and less transparent to the average investor.</w:t>
      </w:r>
    </w:p>
    <w:p>
      <w:pPr>
        <w:pStyle w:val="Normal"/>
        <w:rPr/>
      </w:pPr>
      <w:r>
        <w:rPr/>
        <w:t>In our deliberations, however, there was a balance of views and an agreement on the following:</w:t>
      </w:r>
    </w:p>
    <w:p>
      <w:pPr>
        <w:pStyle w:val="01parapoint"/>
        <w:numPr>
          <w:ilvl w:val="0"/>
          <w:numId w:val="5"/>
        </w:numPr>
        <w:tabs>
          <w:tab w:val="left" w:pos="1051" w:leader="none"/>
        </w:tabs>
        <w:ind w:hanging="288" w:start="1040" w:end="0"/>
        <w:rPr/>
      </w:pPr>
      <w:r>
        <w:rPr/>
        <w:t>The SEC's intentions were good. It received a wealth of views and did its best to weigh the pros and cons.</w:t>
      </w:r>
    </w:p>
    <w:p>
      <w:pPr>
        <w:pStyle w:val="01parapoint"/>
        <w:numPr>
          <w:ilvl w:val="0"/>
          <w:numId w:val="5"/>
        </w:numPr>
        <w:tabs>
          <w:tab w:val="left" w:pos="1051" w:leader="none"/>
        </w:tabs>
        <w:ind w:hanging="288" w:start="1040" w:end="0"/>
        <w:rPr/>
      </w:pPr>
      <w:r>
        <w:rPr/>
        <w:t>In the current era of great uncertainty, there needs to be constant experimentation with ways to improve the market for information.</w:t>
      </w:r>
    </w:p>
    <w:p>
      <w:pPr>
        <w:pStyle w:val="01parapoint"/>
        <w:numPr>
          <w:ilvl w:val="0"/>
          <w:numId w:val="5"/>
        </w:numPr>
        <w:tabs>
          <w:tab w:val="left" w:pos="1051" w:leader="none"/>
        </w:tabs>
        <w:ind w:hanging="288" w:start="1040" w:end="0"/>
        <w:rPr/>
      </w:pPr>
      <w:r>
        <w:rPr/>
        <w:t>But with experimentation comes an obligation for constant assessment of whether the experiment is, in fact, working.  We urge the SEC to monitor the effect of FD on actual business practice, and to constantly survey investors and analysts.</w:t>
      </w:r>
    </w:p>
    <w:p>
      <w:pPr>
        <w:pStyle w:val="01parapoint"/>
        <w:numPr>
          <w:ilvl w:val="0"/>
          <w:numId w:val="5"/>
        </w:numPr>
        <w:tabs>
          <w:tab w:val="left" w:pos="1051" w:leader="none"/>
        </w:tabs>
        <w:ind w:hanging="288" w:start="1040" w:end="0"/>
        <w:rPr/>
      </w:pPr>
      <w:r>
        <w:rPr/>
        <w:t>In the near term, we encourage the SEC to be cautious in its interpretation of how FD regulations should be applied so as not to chill the overall environment for disclosure.</w:t>
      </w:r>
    </w:p>
    <w:p>
      <w:pPr>
        <w:pStyle w:val="Heading3"/>
        <w:ind w:hanging="0" w:start="0"/>
        <w:rPr/>
      </w:pPr>
      <w:r>
        <w:rPr/>
        <w:t xml:space="preserve">Third Party Verification  </w:t>
      </w:r>
    </w:p>
    <w:p>
      <w:pPr>
        <w:pStyle w:val="Normal"/>
        <w:rPr/>
      </w:pPr>
      <w:r>
        <w:rPr/>
        <w:t>It has been suggested that investors could benefit from some form of third party verification of non-financial information, similar to the way auditing firms provide opinions on financial statements.  Currently, information about key operating metrics or market size data is provided voluntarily by companies, with no external verification, based on their own internal definitions.  While companies today can be penalized for providing fraudulent information to investors, operating data is not standardized and therefore may not be comparable across companies.  Furthermore, companies have substantial freedom to report information that while not fraudulent, could be misinterpreted by investors.</w:t>
      </w:r>
    </w:p>
    <w:p>
      <w:pPr>
        <w:pStyle w:val="Normal"/>
        <w:rPr/>
      </w:pPr>
      <w:r>
        <w:rPr/>
        <w:t xml:space="preserve">The task force did not endorse mandatory third party verification of non-financial information.  The task force believes that mandatory third party verification would not significantly improve the quality of information provided by companies to investors and the costs to companies would be substantial.  Furthermore, such a requirement would likely reduce the amount of information that companies disclose.  </w:t>
      </w:r>
    </w:p>
    <w:p>
      <w:pPr>
        <w:pStyle w:val="Normal"/>
        <w:rPr/>
      </w:pPr>
      <w:r>
        <w:rPr/>
        <w:t>We expect that voluntary third party verification will emerge naturally as companies seek to establish credibility and uniformity of the statistics that they report.</w:t>
      </w:r>
    </w:p>
    <w:p>
      <w:pPr>
        <w:pStyle w:val="Heading3"/>
        <w:ind w:hanging="0" w:start="0"/>
        <w:rPr/>
      </w:pPr>
      <w:r>
        <w:rPr/>
        <w:t>Impact of Better Disclosure on Stock Market Volatility and a Level Playing Field</w:t>
      </w:r>
    </w:p>
    <w:p>
      <w:pPr>
        <w:pStyle w:val="Normal"/>
        <w:rPr/>
      </w:pPr>
      <w:r>
        <w:rPr/>
        <w:t xml:space="preserve">We cannot prove that improved reporting, while helping investors value companies, will not eliminate market volatility (although some reduction may be achieved), nor will it level the playing field between large institutional investors and small individual investors.  </w:t>
      </w:r>
    </w:p>
    <w:p>
      <w:pPr>
        <w:pStyle w:val="Normal"/>
        <w:rPr/>
      </w:pPr>
      <w:r>
        <w:rPr/>
        <w:t xml:space="preserve">The volatility of the stock market is largely driven by the underlying uncertainty about the future performance of companies and the economy as a whole.  The senior managers of most Internet companies cannot accurately predict how their companies will perform over the longer term.  Therefore, even if investors had as much information about companies as their managers did, we cannot say for sure that the uncertainty and volatility in the stock market would be significantly reduced.  Furthermore, the task force believes the boom and bust in Internet shares that we experienced in late 1999 and 2000 was largely driven by factors other than inadequacies in company reporting.  </w:t>
      </w:r>
    </w:p>
    <w:p>
      <w:pPr>
        <w:pStyle w:val="Normal"/>
        <w:rPr/>
      </w:pPr>
      <w:r>
        <w:rPr/>
        <w:t xml:space="preserve">The perceived lack of a level playing field is largely unrelated to company disclosures.  Professional securities analysts and their clients have a number of advantages over individual investors.  While companies can provide raw information to investors, analysis and synthesis that integrates company information with industry knowledge drives informed investment decisions.  Professional analysts have the skills, experience, and access to management and industry contacts to assemble and critically assess the information from companies to make fully informed investment recommendations.  They are also able to assess the management through direct contacts.  This costly analysis is typically available to large investors only, those who can hire analysts or purchase outside research. </w:t>
      </w:r>
    </w:p>
    <w:p>
      <w:pPr>
        <w:pStyle w:val="Normal"/>
        <w:rPr/>
      </w:pPr>
      <w:r>
        <w:rPr/>
        <w:t>In addition, professional analysts are “in the information flow” and, therefore, are likely to learn about company developments sooner than small investors.  They may also be able to better interpret company statements or read between the lines in company statements or press releases.</w:t>
      </w:r>
    </w:p>
    <w:p>
      <w:pPr>
        <w:pStyle w:val="Normal"/>
        <w:rPr/>
      </w:pPr>
      <w:r>
        <w:rPr/>
        <w:t>There is great concern these days about whether securities analysts employed by the leading investment banks are truly unbiased in their recommendations.  More and more, analysts are critical in helping the investment banking side of their firms bring in clients.  Analysts face two issues when they write unfavorable reports.  First, they risk being cut off from access to management.  Second, they could risk losing the client for advisory and capital raising fees.  As a result, it is well known that analysts rarely issue “sell” recommendations (less than 1% of analyst recommendations are sell recommendations in recent years compared with about 70% buy recommendations).</w:t>
      </w:r>
      <w:r>
        <w:rPr>
          <w:rStyle w:val="FootnoteCharacters"/>
          <w:rStyle w:val="FootnoteReference"/>
        </w:rPr>
        <w:footnoteReference w:id="5"/>
      </w:r>
    </w:p>
    <w:p>
      <w:pPr>
        <w:pStyle w:val="Normal"/>
        <w:rPr>
          <w:color w:val="000000"/>
        </w:rPr>
      </w:pPr>
      <w:r>
        <w:rPr/>
        <w:t>These issues around the structure of the stock market are important.  However, the task force believes that changes in company disclosure will not eliminate the advantages of large investors.  Furthermore, attempts to level the playing field could make the problem worse.  It could actually inhibit the free flow of information or it could lead to a deluge of useless boilerplate information that confuses small investors.</w:t>
      </w:r>
    </w:p>
    <w:p>
      <w:pPr>
        <w:pStyle w:val="Normal"/>
        <w:rPr/>
      </w:pPr>
      <w:r>
        <w:rPr/>
        <w:t>Finally, it is not clear how many smaller investors would make use of improved company disclosure.  The percentage of trading conducted by individual investors is growing relative to institutional investors.  This is more pronounced in Internet shares.  Yet, many of these individual investors are either unsophisticated (wanting to make some money on the latest sure thing) or technical traders (wanting to make money on the volatility of shares during the day rather than investing for the long term based on the fundamentals of the company).</w:t>
      </w:r>
    </w:p>
    <w:p>
      <w:pPr>
        <w:pStyle w:val="Heading3"/>
        <w:ind w:hanging="0" w:start="0"/>
        <w:rPr/>
      </w:pPr>
      <w:r>
        <w:rPr/>
        <w:t>Additional Disclosures About Management</w:t>
      </w:r>
    </w:p>
    <w:p>
      <w:pPr>
        <w:pStyle w:val="Normal"/>
        <w:rPr/>
      </w:pPr>
      <w:r>
        <w:rPr/>
        <w:t>For most investors and venture capitalists, the quality of management is often the most important determinant of investment decisions.  The task force discussed whether additional disclosures about management would be beneficial.  These additional disclosures might include: record of past success and failures, how much time they would devote to the company, a summary of employment contracts.</w:t>
      </w:r>
    </w:p>
    <w:p>
      <w:pPr>
        <w:pStyle w:val="Normal"/>
        <w:rPr/>
      </w:pPr>
      <w:r>
        <w:rPr/>
        <w:t>The task force did not reach a consensus on whether additional disclosures would be helpful.  Some of the task force members believed that the most important qualities of a management team could not captured in his/her past record or by information about employment contracts.</w:t>
      </w:r>
    </w:p>
    <w:p>
      <w:pPr>
        <w:pStyle w:val="Heading3"/>
        <w:ind w:hanging="0" w:start="0"/>
        <w:rPr/>
      </w:pPr>
      <w:r>
        <w:rPr/>
        <w:t>Disclosures about Founding Investors</w:t>
      </w:r>
    </w:p>
    <w:p>
      <w:pPr>
        <w:pStyle w:val="Normal"/>
        <w:rPr/>
      </w:pPr>
      <w:r>
        <w:rPr/>
        <w:t xml:space="preserve">For younger companies, the background and intentions of the founding investors is extremely important to new investors.  The founding investors often help management develop the company.  Venture capitalists and other founding investors also develop reputations for spotting attractive investments.  However, the interests of the founding investors are not always in line with those of the public market investors.  Accordingly, the task force members discussed whether the following disclosure should be considered:  (1) Track record of founding investors, (2) Length of time that founding investors typically hold shares after an IPO, (3) Founding investors’ intentions with respect to selling shares in this company.  This information could be disclosed in the IPO prospectus and updated in annual and quarterly reports. </w:t>
      </w:r>
    </w:p>
    <w:p>
      <w:pPr>
        <w:pStyle w:val="Normal"/>
        <w:rPr/>
      </w:pPr>
      <w:r>
        <w:rPr/>
        <w:t>The task force did not reach a consensus on this issue.  Some task force members believed that the track record and intentions of founding investors are private matters and should be disclosed on a voluntary basis only.  Mandating such disclosure might limit the pool of capital available to some companies, as start-up investors would be less willing to take risks and publicize their investments.</w:t>
      </w:r>
    </w:p>
    <w:p>
      <w:pPr>
        <w:pStyle w:val="Heading3"/>
        <w:ind w:hanging="0" w:start="0"/>
        <w:rPr/>
      </w:pPr>
      <w:r>
        <w:rPr/>
        <w:t xml:space="preserve">Accounting Issues Relating to Combinations and Stock Options    </w:t>
      </w:r>
    </w:p>
    <w:p>
      <w:pPr>
        <w:pStyle w:val="Normal"/>
        <w:rPr/>
      </w:pPr>
      <w:r>
        <w:rPr/>
        <w:t xml:space="preserve">Some members wished to include a discussion of issues related to accounting for business combinations and employee stock options.  Others believed that the issues were better left to other forums with more technical expertise. </w:t>
      </w:r>
    </w:p>
    <w:p>
      <w:pPr>
        <w:pStyle w:val="Heading1"/>
        <w:ind w:hanging="547" w:start="547"/>
        <w:rPr/>
      </w:pPr>
      <w:r>
        <w:rPr/>
        <w:t>Attachment D:  Individual Views</w:t>
      </w:r>
    </w:p>
    <w:p>
      <w:pPr>
        <w:pStyle w:val="Heading1"/>
        <w:ind w:hanging="547" w:start="547"/>
        <w:rPr/>
      </w:pPr>
      <w:r>
        <w:rPr/>
        <w:t>Background Papers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22numberedparagraph"/>
        <w:tabs>
          <w:tab w:val="clear" w:pos="360"/>
        </w:tabs>
        <w:outlineLvl w:val="9"/>
        <w:rPr>
          <w:bCs/>
        </w:rPr>
      </w:pPr>
      <w:r>
        <w:rPr>
          <w:bCs/>
        </w:rPr>
        <w:t>Following are three background papers that were prepared to facilitate the discussions of the task force.  These papers are not part of the task force’s conclusions and recommendations and should not be construed as representing a consensus of the task force members.</w:t>
      </w:r>
    </w:p>
    <w:p>
      <w:pPr>
        <w:pStyle w:val="Heading1"/>
        <w:ind w:hanging="547" w:start="547"/>
        <w:rPr/>
      </w:pPr>
      <w:r>
        <w:rPr/>
        <w:t>Background Paper: An Environment of Rapid And Pervasive Change</w:t>
      </w:r>
      <w:r>
        <w:rPr>
          <w:rStyle w:val="FootnoteCharacters"/>
          <w:rStyle w:val="FootnoteReference"/>
          <w:sz w:val="28"/>
        </w:rPr>
        <w:footnoteReference w:customMarkFollows="1" w:id="6"/>
        <w:t>*</w:t>
      </w:r>
    </w:p>
    <w:p>
      <w:pPr>
        <w:pStyle w:val="Normal"/>
        <w:rPr/>
      </w:pPr>
      <w:r>
        <w:rPr/>
        <w:t xml:space="preserve">We are living in a unique time where rapid technological innovation is changing our world.  In the past, technological change often led to improved productivity or a small number of new products.  Today, the Internet is fundamentally changing the way businesses interact with consumers and each other.  There is no doubt that these changes will lead to substantial value creation for the economy as a whole, but there is tremendous uncertainty about which business models and companies will succeed and how value will be distributed between businesses and consumers.  This uncertainty makes it extraordinarily difficult to measure the value of companies and has led to unprecedented high levels of volatility in the stock market.  </w:t>
      </w:r>
    </w:p>
    <w:p>
      <w:pPr>
        <w:pStyle w:val="Normal"/>
        <w:rPr/>
      </w:pPr>
      <w:r>
        <w:rPr/>
        <w:t>The current wave of innovation centered around the Internet and telecommunications has four critical dimensions:  (1) the pace of technology diffusion, (2) the fundamental impact on business models, (3) opportunities for “winner take all” outcomes, and (4) the willingness of the capital markets to finance companies with limited track records.</w:t>
      </w:r>
    </w:p>
    <w:p>
      <w:pPr>
        <w:pStyle w:val="Normal"/>
        <w:rPr/>
      </w:pPr>
      <w:r>
        <w:rPr>
          <w:b/>
        </w:rPr>
        <w:t>Pace of technology diffusion.</w:t>
      </w:r>
      <w:r>
        <w:rPr/>
        <w:t xml:space="preserve">  The pace of technological development and diffusion is much faster than in the past.  This has resulted in the creation of new markets and new business models at lightning speed.</w:t>
      </w:r>
    </w:p>
    <w:p>
      <w:pPr>
        <w:pStyle w:val="Normal"/>
        <w:rPr/>
      </w:pPr>
      <w:r>
        <w:rPr>
          <w:b/>
        </w:rPr>
        <w:t>Impact on business models.</w:t>
      </w:r>
      <w:r>
        <w:rPr/>
        <w:t xml:space="preserve">  New technologies are linking businesses to each other and to consumers, thus fundamentally changing the way business is conducted.  Past waves of innovations were more narrowly focused on specific products or improvements in manufacturing or back office operations.  For example, the computer manufacturer Dell has introduced a business model that links it directly to its end consumers and suppliers, thereby cutting out distributors and retailers and providing much quicker information about its component needs to its suppliers.  This approach has helped Dell operate with only 6 days sales in inventory compared with 30-60 days for similar manufacturers.  Because it manufactures to order, it also does not incur the costs of obsolete inventories.  Its approach has made it the most profitable manufacturer of PCs.</w:t>
      </w:r>
    </w:p>
    <w:p>
      <w:pPr>
        <w:pStyle w:val="Normal"/>
        <w:rPr/>
      </w:pPr>
      <w:r>
        <w:rPr>
          <w:b/>
        </w:rPr>
        <w:t xml:space="preserve">Opportunities for “winner take all” outcomes.  </w:t>
      </w:r>
      <w:r>
        <w:rPr/>
        <w:t>In a limited set of cases, new information related products are being developed where “demand side” economies of scale result in “winner take all” economic models.  On-line auctions are a prominent example.  The largest auction house selling a particular category of product is more attractive to both buyers and sellers because of they have the most products to sell (attractive for buyers) and they have most buyers visiting their site (attractive for sellers).  As more sellers post their wares on the site, the site becomes more valuable to buyers.  More buyers, in turn, attract more sellers.  This creates a positive feedback loop, helping the leading auction site accelerate its growth much faster than competitors.  While we may see more of these “demand side economies of scale” in Internet related products and services--they are still likely to be rare.  It is also important to remember that the flip side of "winner take all" is "losers get nothing" making such markets highly risky.</w:t>
      </w:r>
    </w:p>
    <w:p>
      <w:pPr>
        <w:pStyle w:val="Normal"/>
        <w:rPr/>
      </w:pPr>
      <w:r>
        <w:rPr>
          <w:b/>
        </w:rPr>
        <w:t>Willingness of capital markets to support very young companies.</w:t>
      </w:r>
      <w:r>
        <w:rPr/>
        <w:t xml:space="preserve">  The opportunities for value creation were expected to be so large that the capital markets were and, in some cases still are, willing to place very high values on companies with no track record or earnings history, only the potential to strike gold.  As a result, the capital markets financed an unprecedented number of companies at earlier stages in their lives.  The willingness of the capital markets to finance these businesses, in turn, accelerated their growth.  While the excesses of some of these financings have disappeared, we expect that strong business models will still get financed at reasonable prices.</w:t>
      </w:r>
    </w:p>
    <w:p>
      <w:pPr>
        <w:pStyle w:val="Normal"/>
        <w:rPr/>
      </w:pPr>
      <w:r>
        <w:rPr/>
        <w:t>There is no doubt that these technological changes and resulting new products and services will create substantial value for the economy.  Not surprisingly, however, there is tremendous uncertainty about which business models, companies, and industries will capture a large share of the value for their shareholders.</w:t>
      </w:r>
    </w:p>
    <w:p>
      <w:pPr>
        <w:pStyle w:val="Normal"/>
        <w:rPr/>
      </w:pPr>
      <w:r>
        <w:rPr/>
        <w:t>One source of uncertainty is consumer behavior.  For example, will consumers prefer to shop in virtual malls or will they prefer specialist retailers?  Or perhaps there is room for both?  On one hand, the Internet favors companies who can develop strong brands and build customer relationships.  On the other hand, the Internet also makes it easy for the consumer to find the best specialist retailer for any product or service or to bypass the retailer completely and go directly to the producer.  Despite its late entry, Amazon.com quickly overtook both CDNow and e-Toys in their respective markets once Amazon entered their markets.</w:t>
      </w:r>
    </w:p>
    <w:p>
      <w:pPr>
        <w:pStyle w:val="Normal"/>
        <w:rPr/>
      </w:pPr>
      <w:r>
        <w:rPr/>
        <w:t xml:space="preserve">Another source of uncertainty is the continued rapid pace of technological innovation.  Innovation can turn successful business models obsolete practically overnight.  For example, AOL paid a tremendous premium (with a corresponding drop in its own share price) to purchase Time-Warner to get assured access to broadband distribution of its services. </w:t>
      </w:r>
    </w:p>
    <w:p>
      <w:pPr>
        <w:pStyle w:val="Normal"/>
        <w:rPr/>
      </w:pPr>
      <w:r>
        <w:rPr/>
        <w:t>A final source of uncertainty is competitive behavior itself.  It is impossible to predict when the best management team will stumble or when a weak competitor will make a brilliant move (either by keen insight, luck, or desperation).</w:t>
      </w:r>
    </w:p>
    <w:p>
      <w:pPr>
        <w:pStyle w:val="Normal"/>
        <w:rPr/>
      </w:pPr>
      <w:r>
        <w:rPr/>
        <w:t>As in past waves of innovation, most new companies will fail or be swallowed by stronger competitors, and many survivors will pass on most of the benefits from new products and markets to consumers, rather than their shareholders.  Only a small number are likely to create substantial shareholder value.  A study by Morgan Stanley showed that, prior to the current wave of Internet related IPOs, of 1,243 technology IPOs, only 5% of them created over 86% of the value for shareholders.  The results for the current round of IPOs are unlikely to be substantially different.  In fact, about 93% of Internet related companies taken public in 1999 and 2000 were trading below their opening prices as of early March 2001.</w:t>
      </w:r>
      <w:r>
        <w:rPr>
          <w:rStyle w:val="FootnoteCharacters"/>
          <w:rStyle w:val="FootnoteReference"/>
        </w:rPr>
        <w:footnoteReference w:id="7"/>
      </w:r>
    </w:p>
    <w:p>
      <w:pPr>
        <w:pStyle w:val="Normal"/>
        <w:rPr/>
      </w:pPr>
      <w:r>
        <w:rPr/>
        <w:t>The uncertainty about consumer behavior, technology, and competitive dynamics is reflected in the record high levels of volatility in the stock market, particularly the NASDAQ.  The Wall Street Journal noted that before 1998, there had never been a year where the NASDAQ index had more than 10 trading days when it went up or down more than 2%.  Yet in 1999, the NASDAQ index experienced 25 days where it went up or down more than 2% and in 2000, the index experienced 134 such days.</w:t>
      </w:r>
    </w:p>
    <w:p>
      <w:pPr>
        <w:pStyle w:val="Normal"/>
        <w:rPr/>
      </w:pPr>
      <w:r>
        <w:rPr/>
        <w:t>In this uncertain environment, it appears that the stock market initially overvalued emerging companies in the Internet market.  It was hard, with even the most optimistic outlook, to rationally explain the valuations of many Internet companies during late 1999 and early 2000.  As of March 2001, the values of many of these companies have declined to less than 10% of their highs.  This suggests that, as in past waves of investor euphoria, the valuation of these companies will ultimately reflect their potential to generate earnings and cash flows.  There have been many explanations for this “irrationality” in the market.</w:t>
      </w:r>
    </w:p>
    <w:p>
      <w:pPr>
        <w:pStyle w:val="01parapoint"/>
        <w:numPr>
          <w:ilvl w:val="0"/>
          <w:numId w:val="5"/>
        </w:numPr>
        <w:tabs>
          <w:tab w:val="left" w:pos="1051" w:leader="none"/>
        </w:tabs>
        <w:ind w:hanging="0" w:start="0"/>
        <w:rPr/>
      </w:pPr>
      <w:r>
        <w:rPr/>
        <w:t>Some observers point to the emergence of unsophisticated individual investors, particularly day traders, as trading became very inexpensive, and the amount of investment information available on the Internet exploded.  It can be argued that these traders are generating tremendous trading volume leading to unrealistically high prices.</w:t>
      </w:r>
    </w:p>
    <w:p>
      <w:pPr>
        <w:pStyle w:val="01parapoint"/>
        <w:numPr>
          <w:ilvl w:val="0"/>
          <w:numId w:val="5"/>
        </w:numPr>
        <w:tabs>
          <w:tab w:val="left" w:pos="1051" w:leader="none"/>
        </w:tabs>
        <w:ind w:hanging="0" w:start="0"/>
        <w:rPr/>
      </w:pPr>
      <w:r>
        <w:rPr/>
        <w:t>Others cite the imbalance between the supply and demand for shares of Internet companies.  Many companies have gone public with less than 20% of their shares available to outside investors.  Many investors wanted to buy these shares but the supply was artificially limited.</w:t>
      </w:r>
      <w:r>
        <w:rPr>
          <w:rStyle w:val="FootnoteCharacters"/>
          <w:rStyle w:val="FootnoteReference"/>
        </w:rPr>
        <w:footnoteReference w:id="8"/>
      </w:r>
    </w:p>
    <w:p>
      <w:pPr>
        <w:pStyle w:val="01parapoint"/>
        <w:numPr>
          <w:ilvl w:val="0"/>
          <w:numId w:val="5"/>
        </w:numPr>
        <w:tabs>
          <w:tab w:val="left" w:pos="1051" w:leader="none"/>
        </w:tabs>
        <w:ind w:hanging="0" w:start="0"/>
        <w:rPr/>
      </w:pPr>
      <w:r>
        <w:rPr/>
        <w:t>Some blame the securities analysts at investment banks.  They argue that the analysts’ objectivity may have been compromised by their need to support the investment banking side of their firms.</w:t>
      </w:r>
    </w:p>
    <w:p>
      <w:pPr>
        <w:pStyle w:val="01parapoint"/>
        <w:numPr>
          <w:ilvl w:val="0"/>
          <w:numId w:val="5"/>
        </w:numPr>
        <w:tabs>
          <w:tab w:val="left" w:pos="1051" w:leader="none"/>
        </w:tabs>
        <w:ind w:hanging="0" w:start="0"/>
        <w:rPr/>
      </w:pPr>
      <w:r>
        <w:rPr/>
        <w:t>Finally, some blame a general speculative fever.</w:t>
      </w:r>
    </w:p>
    <w:p>
      <w:pPr>
        <w:pStyle w:val="Normal"/>
        <w:rPr/>
      </w:pPr>
      <w:r>
        <w:rPr/>
        <w:t>The inherent contradiction in the valuation of Internet stocks was nicely summarized by Hal Varian in the New York Times:  “The Internet was supposed to remove all barriers to entry, encourage competition and create a frictionless market with unlimited access to free content. But, at the same time, it was supposed to offer hugely profitable investment opportunities. You do not have to have a Ph.D. in economics to see that both arguments are rarely true at the same time.”</w:t>
      </w:r>
      <w:r>
        <w:rPr>
          <w:rStyle w:val="FootnoteCharacters"/>
          <w:rStyle w:val="FootnoteReference"/>
        </w:rPr>
        <w:footnoteReference w:id="9"/>
      </w:r>
    </w:p>
    <w:p>
      <w:pPr>
        <w:pStyle w:val="Normal"/>
        <w:rPr/>
      </w:pPr>
      <w:r>
        <w:rPr/>
        <w:t>History suggests that we should not be surprised by episodes of market “irrationality”. The Internet roller coaster may rank as the market’s biggest in terms of value over the last 20 years, but it certainly has not been the only one.  We have seen similar episodes in biotech, real estate, LBOs, and the Japanese stock market.  Each had as one of its defining characteristics the conviction among market bulls that somehow, this time, classical notions of value creation, such as approaches that emphasized understanding a company’s cash flow, were hopelessly out of touch with a new reality of investing.  While it may be frustrating that the market repeats its errors, it is reassuring that eventually the fundamental principles of value prevail.</w:t>
      </w:r>
    </w:p>
    <w:p>
      <w:pPr>
        <w:pStyle w:val="Normal"/>
        <w:spacing w:before="0" w:after="0"/>
        <w:rPr/>
      </w:pPr>
      <w:r>
        <w:rPr/>
      </w:r>
    </w:p>
    <w:p>
      <w:pPr>
        <w:pStyle w:val="Normal"/>
        <w:rPr/>
      </w:pPr>
      <w:r>
        <w:rPr/>
      </w:r>
    </w:p>
    <w:p>
      <w:pPr>
        <w:pStyle w:val="Heading1"/>
        <w:ind w:hanging="547" w:start="547"/>
        <w:rPr/>
      </w:pPr>
      <w:r>
        <w:rPr/>
        <w:t>Background Paper:  Intangible Assets and the Valuation of Companies</w:t>
      </w:r>
      <w:r>
        <w:rPr>
          <w:rStyle w:val="FootnoteCharacters"/>
          <w:rStyle w:val="FootnoteReference"/>
          <w:sz w:val="28"/>
        </w:rPr>
        <w:footnoteReference w:customMarkFollows="1" w:id="10"/>
        <w:t>*</w:t>
      </w:r>
    </w:p>
    <w:p>
      <w:pPr>
        <w:pStyle w:val="Normal"/>
        <w:rPr/>
      </w:pPr>
      <w:r>
        <w:rPr/>
        <w:t>Over the last several years, the role of intangible assets in the value creation process has received prominent attention in the financial world and the business press.  A primary factor in all this attention is the high valuations placed on young Internet related companies with no profits and no tangible assets but potentially large intangible assets, such as proprietary technology, innovative business processes and recognizable brand names.  These valuations have, in turn, spurred criticism of our accounting system for not adequately valuing intangible assets.</w:t>
      </w:r>
    </w:p>
    <w:p>
      <w:pPr>
        <w:pStyle w:val="Normal"/>
        <w:rPr/>
      </w:pPr>
      <w:r>
        <w:rPr/>
        <w:t>While there has been much written about intangible assets, much of it merely reinforces the confusion over the issues.  The typical reasoning goes as follows: The current market values of many companies are very large relative to their book values.  Much of this difference must be due to intangible assets as the economy moves toward an emphasis on intellectual capital rather than physical capital as the basis for value creation.  Therefore, the accounting system, which does not record most intangible assets on the balance sheet, must be flawed.</w:t>
      </w:r>
    </w:p>
    <w:p>
      <w:pPr>
        <w:pStyle w:val="Normal"/>
        <w:rPr/>
      </w:pPr>
      <w:r>
        <w:rPr/>
        <w:t>While improvements can be made in the reporting by companies about their intangible assets, but the logic above doesn’t help identify practical solutions.  Proposed improvements in reporting must be grounded in a thorough understanding of the link between intangible assets and company value, and the role of financial statements and company reporting in the valuation of companies.</w:t>
      </w:r>
    </w:p>
    <w:p>
      <w:pPr>
        <w:pStyle w:val="Normal"/>
        <w:rPr/>
      </w:pPr>
      <w:r>
        <w:rPr/>
        <w:t>This background paper describes how intangible assets relate to company values.  In summary,</w:t>
      </w:r>
    </w:p>
    <w:p>
      <w:pPr>
        <w:pStyle w:val="01parapoint"/>
        <w:numPr>
          <w:ilvl w:val="0"/>
          <w:numId w:val="5"/>
        </w:numPr>
        <w:tabs>
          <w:tab w:val="left" w:pos="1051" w:leader="none"/>
        </w:tabs>
        <w:ind w:hanging="0" w:start="0"/>
        <w:rPr/>
      </w:pPr>
      <w:r>
        <w:rPr/>
        <w:t>The value of a company in the stock market is driven by its perceived ability to generate profits and cash flow.  Intangible assets, by helping companies generate profits and cash flow, are a key indirect driver of value.  This does not imply, however, that the value of a company’s intangible assets translates directly into the value of the company as a whole.</w:t>
      </w:r>
    </w:p>
    <w:p>
      <w:pPr>
        <w:pStyle w:val="01parapoint"/>
        <w:numPr>
          <w:ilvl w:val="0"/>
          <w:numId w:val="5"/>
        </w:numPr>
        <w:tabs>
          <w:tab w:val="left" w:pos="1051" w:leader="none"/>
        </w:tabs>
        <w:ind w:hanging="0" w:start="0"/>
        <w:rPr/>
      </w:pPr>
      <w:r>
        <w:rPr/>
        <w:t>Under Generally Accepted Accounting Principles (GAAP), the balance sheet of a company was never meant to reflect the market value of the company.  The financial statements of a company are meant to provide information about a company’s assets and liabilities and changes in those assets and liabilities from one period to the next.  This information, when combined with other information, helps investors assess the value of the company.</w:t>
      </w:r>
    </w:p>
    <w:p>
      <w:pPr>
        <w:pStyle w:val="01parapoint"/>
        <w:numPr>
          <w:ilvl w:val="0"/>
          <w:numId w:val="5"/>
        </w:numPr>
        <w:tabs>
          <w:tab w:val="left" w:pos="1051" w:leader="none"/>
        </w:tabs>
        <w:ind w:hanging="0" w:start="0"/>
        <w:rPr/>
      </w:pPr>
      <w:r>
        <w:rPr/>
        <w:t>Improvements in company reporting should be focused on providing information about intangible assets that will help investors forecast future profits and cash flow, through supplemental disclosures whether or not the value of some intangible assets appears on a company’s balance sheet.</w:t>
      </w:r>
    </w:p>
    <w:p>
      <w:pPr>
        <w:pStyle w:val="Heading2"/>
        <w:ind w:hanging="0" w:start="0"/>
        <w:rPr/>
      </w:pPr>
      <w:r>
        <w:rPr/>
        <w:t xml:space="preserve">Intangible assets are an “indirect” driver of company value </w:t>
      </w:r>
    </w:p>
    <w:p>
      <w:pPr>
        <w:pStyle w:val="Normal"/>
        <w:rPr/>
      </w:pPr>
      <w:r>
        <w:rPr/>
        <w:t>The value of a company is driven by its perceived ability to generate sustained profits and cash flow.  Intangible assets, by helping companies generate profits and cash flow, are a key driver of company value.  The link between company value and its intangible assets is indirect, however.  The value of a company is not the sum of its tangible and intangible assets.</w:t>
      </w:r>
    </w:p>
    <w:p>
      <w:pPr>
        <w:pStyle w:val="Normal"/>
        <w:rPr/>
      </w:pPr>
      <w:r>
        <w:rPr/>
        <w:t>Our discussion of valuation begins with a description of intangible assets.  We then describe a model of how companies use intangible assets to generate profits, cash flow, and ultimately, value for shareholders.  Finally, we explain why the link between company value and intangible assets is indirect rather than direct.</w:t>
      </w:r>
    </w:p>
    <w:p>
      <w:pPr>
        <w:pStyle w:val="Heading3"/>
        <w:ind w:hanging="0" w:start="0"/>
        <w:rPr/>
      </w:pPr>
      <w:r>
        <w:rPr/>
        <w:t>Description of Intangible Assets</w:t>
      </w:r>
    </w:p>
    <w:p>
      <w:pPr>
        <w:pStyle w:val="Normal"/>
        <w:rPr/>
      </w:pPr>
      <w:r>
        <w:rPr/>
        <w:t>Assets contribute to future cash flows</w:t>
      </w:r>
      <w:r>
        <w:rPr>
          <w:rStyle w:val="FootnoteCharacters"/>
          <w:rStyle w:val="FootnoteReference"/>
        </w:rPr>
        <w:footnoteReference w:id="11"/>
      </w:r>
      <w:r>
        <w:rPr/>
        <w:t>.  For example, a factory can be used to make products which will be sold and eventually generate cash flows.  An intangible asset is an asset that does not have a physical or financial embodiment, such as a patent, brand, or unique organizational structure (e.g., an Internet-based supply chain).</w:t>
      </w:r>
    </w:p>
    <w:p>
      <w:pPr>
        <w:pStyle w:val="Normal"/>
        <w:rPr/>
      </w:pPr>
      <w:r>
        <w:rPr/>
        <w:t xml:space="preserve">Baruch Lev, professor at New York University, explains that intangible assets are generated by innovation, unique organizational design, or human resource practices. </w:t>
      </w:r>
    </w:p>
    <w:p>
      <w:pPr>
        <w:pStyle w:val="Normal"/>
        <w:ind w:start="720" w:end="720"/>
        <w:jc w:val="both"/>
        <w:rPr>
          <w:color w:val="000000"/>
        </w:rPr>
      </w:pPr>
      <w:r>
        <w:rPr>
          <w:color w:val="000000"/>
        </w:rPr>
        <w:t>The bulk of [major pharmaceutical companies’] intangibles were obviously created by their massive and highly successful innovation effort…Dell’s major value drivers are related to … a unique organizational design, implemented through direct customer marketing of built-to-order (BTO) computers, via telephone and the Internet. Cisco’s Internet-based product installation and maintenance system, which generates $1.5B/yr in savings, is another example of an intangible created by a unique organizational design.</w:t>
      </w:r>
    </w:p>
    <w:p>
      <w:pPr>
        <w:pStyle w:val="Normal"/>
        <w:ind w:start="720" w:end="720"/>
        <w:jc w:val="both"/>
        <w:rPr>
          <w:color w:val="000000"/>
        </w:rPr>
      </w:pPr>
      <w:r>
        <w:rPr>
          <w:color w:val="000000"/>
        </w:rPr>
        <w:t>Brands, a major form of intangible prevalent particularly in consumer products—electronics (Sony), food and beverages (Coca-Cola), and more recently in Internet companies (AOL, Yahoo!, and Amazon)—are often created by a combination of innovation and organizational structure. Coke’s highly valuable brand is the result of a secret formula and exceptional marketing savvy. The unique products created and acquired by AOL during the 1990s are responsible for its brand, along with massive marketing (customer acquisition) costs.</w:t>
      </w:r>
    </w:p>
    <w:p>
      <w:pPr>
        <w:pStyle w:val="Normal"/>
        <w:ind w:start="720" w:end="720"/>
        <w:jc w:val="both"/>
        <w:rPr>
          <w:color w:val="000000"/>
        </w:rPr>
      </w:pPr>
      <w:r>
        <w:rPr>
          <w:color w:val="000000"/>
        </w:rPr>
        <w:t xml:space="preserve">The third [source] of intangibles, those related to human resources, are generally created by unique personnel and compensation policies, such as investment in training, incentive-based compensation, and collaborations with universities and research centers. Such human resource practices enable employers to reduce employee turnover, provide positive incentives to the workforce, and facilitate the recruitment of highly qualified employees (e.g., scientists)… </w:t>
      </w:r>
    </w:p>
    <w:p>
      <w:pPr>
        <w:pStyle w:val="Normal"/>
        <w:ind w:start="720" w:end="720"/>
        <w:jc w:val="both"/>
        <w:rPr>
          <w:color w:val="000000"/>
        </w:rPr>
      </w:pPr>
      <w:r>
        <w:rPr>
          <w:color w:val="000000"/>
        </w:rPr>
        <w:t>While it is convenient to classify intangibles by their major generator—innovation, organizational design, or human resource practices—the assets are often created by a combination of these sources.</w:t>
      </w:r>
      <w:r>
        <w:rPr>
          <w:rStyle w:val="FootnoteCharacters"/>
          <w:rStyle w:val="FootnoteReference"/>
          <w:color w:val="000000"/>
        </w:rPr>
        <w:footnoteReference w:id="12"/>
      </w:r>
    </w:p>
    <w:p>
      <w:pPr>
        <w:pStyle w:val="Heading3"/>
        <w:ind w:hanging="0" w:start="0"/>
        <w:rPr/>
      </w:pPr>
      <w:r>
        <w:rPr/>
        <w:t>How Intangible Assets Help Generate Profits and Cash Flow</w:t>
      </w:r>
    </w:p>
    <w:p>
      <w:pPr>
        <w:pStyle w:val="Normal"/>
        <w:rPr/>
      </w:pPr>
      <w:r>
        <w:rPr/>
        <w:t>Now that we have described intangible assets, we will show how they fit into the value creation process.  At this point, we will assert that company value is ultimately driven by profits and cash flow.  This section introduces a model for explaining how intangibles drive profits and cash flow.  The next section will defend our assertion that profits and cash flow drive value.</w:t>
      </w:r>
    </w:p>
    <w:p>
      <w:pPr>
        <w:pStyle w:val="Normal"/>
        <w:rPr/>
      </w:pPr>
      <w:r>
        <w:rPr/>
        <w:t>A company uses intangible assets to generate profits and cash flow in three distinct stages:</w:t>
      </w:r>
    </w:p>
    <w:p>
      <w:pPr>
        <w:pStyle w:val="05number1"/>
        <w:rPr/>
      </w:pPr>
      <w:r>
        <w:rPr/>
        <w:t>1.</w:t>
        <w:tab/>
        <w:t>First, a company creates or purchases the tangible and intangible assets that it needs to develop and sell products and services.  Intangible assets include brands, technologies, business processes, customer and supplier relationships and organizational capabilities.  Tangible assets include factories and inventories.</w:t>
      </w:r>
    </w:p>
    <w:p>
      <w:pPr>
        <w:pStyle w:val="05number1"/>
        <w:rPr/>
      </w:pPr>
      <w:r>
        <w:rPr/>
        <w:t>2.</w:t>
        <w:tab/>
        <w:t>A company then uses its tangible and intangible assets to create products and services that its sells to its customers.  For example, it could use its technology, factories, and organizational skills to design and manufacture products.  It could use its brands and customer relationships to market and sell the products to customers.</w:t>
      </w:r>
    </w:p>
    <w:p>
      <w:pPr>
        <w:pStyle w:val="05number1"/>
        <w:rPr/>
      </w:pPr>
      <w:r>
        <w:rPr/>
        <w:t>3.</w:t>
        <w:tab/>
        <w:t>The sales of these products and services are ultimately converted into a stream of profits and cash flow after paying employees and suppliers.</w:t>
      </w:r>
    </w:p>
    <w:p>
      <w:pPr>
        <w:pStyle w:val="Normal"/>
        <w:rPr/>
      </w:pPr>
      <w:r>
        <w:rPr/>
        <w:t xml:space="preserve">In practice, all these stages overlap considerably, but it is helpful to disaggregate them to simplify the process.  We will illustrate the process with a young, fast growing Internet retailer.  In stage 1, the retailer invests in creating intangible assets—designing its product offering, developing agreements with suppliers, designing its brand, building its warehousing and delivery capability and building its web site.  During this stage, the company has only cash outflows and no profits to report.  In stage 2, the retailer goes on-line, selling its products to the public.  During this stage, the retailer will also probably continue to invest in strengthening its intangible assets, particularly building its brand and investing to acquire customers.  The company’s income statement reports losses and cash flows are negative, however, partly because it has not yet reached the scale necessary to compete effectively, partly because it is still experimenting with its business model and partly because its continued investments in intangibles are accounted for as expenses.  In stage 3, profits and cash flow turn positive as growth slows and the need for investments relative to operating profits declines.  </w:t>
      </w:r>
    </w:p>
    <w:p>
      <w:pPr>
        <w:pStyle w:val="Normal"/>
        <w:rPr/>
      </w:pPr>
      <w:r>
        <w:rPr/>
        <w:t>To assess the value of this retailer, an investor needs to estimate how much revenue, profit and cash flow the company might be able to earn in the future when it becomes relatively mature and stable (say 5 to 15 years out).</w:t>
      </w:r>
    </w:p>
    <w:p>
      <w:pPr>
        <w:pStyle w:val="Normal"/>
        <w:rPr/>
      </w:pPr>
      <w:r>
        <w:rPr/>
        <w:t>First, the investor typically forecasts potential revenues.  Regardless of whether the retailer is stage 1, 2 or 3, the investor needs to estimate the potential size of market the company is pursuing and the company’s potential market share.  For a stage 3 company, the current size of the market and retailer’s current market share might be reasonable starting points to develop future estimates.</w:t>
      </w:r>
    </w:p>
    <w:p>
      <w:pPr>
        <w:pStyle w:val="Normal"/>
        <w:rPr/>
      </w:pPr>
      <w:r>
        <w:rPr/>
        <w:t>For a stage 2 company, the current size of the market and current market share might not be that relevant.  The investor needs to forecast how much potential demand there might be in the long term by examining why consumers might purchase the products and how they might substitute for other products.  To estimate potential market size and market share, the investor will look for clues such as the number of visitors to the retailer’s web site (indicating brand strength), how many visitors make purchases (indicating the attractiveness of the product offering), and how many customers make repeat purchases (how effective is the total customer experience).  Investors can use the company’s performance on these measures to develop its judgment on the retailer’s long term potential.</w:t>
      </w:r>
    </w:p>
    <w:p>
      <w:pPr>
        <w:pStyle w:val="Normal"/>
        <w:rPr/>
      </w:pPr>
      <w:r>
        <w:rPr/>
        <w:t>For a stage 1 company, investors need to rely on more qualitative assessments of intangible assets when forecasting future market share.  For example, they might assess brand awareness, the logic of the product offering, the skill and experience of the management team, or innovative aspects of the business system.</w:t>
      </w:r>
    </w:p>
    <w:p>
      <w:pPr>
        <w:pStyle w:val="Normal"/>
        <w:rPr/>
      </w:pPr>
      <w:r>
        <w:rPr/>
        <w:t>Once revenues are forecasted, investors go through a similar process to forecast costs and investments to ultimately derive profits and cash flows.  Of course, investors will be more uncertain about the performance of a stage 1 company than a stage 2 or stage 3 company.  Investors may make adjustments for this uncertainty, but in the end, investors still need to get some sense of revenues, profits and cash flow.</w:t>
      </w:r>
    </w:p>
    <w:p>
      <w:pPr>
        <w:pStyle w:val="Heading3"/>
        <w:ind w:hanging="0" w:start="0"/>
        <w:rPr/>
      </w:pPr>
      <w:r>
        <w:rPr/>
        <w:t>Value Ultimately Driven by Profits and Cash Flow</w:t>
      </w:r>
    </w:p>
    <w:p>
      <w:pPr>
        <w:pStyle w:val="Normal"/>
        <w:rPr/>
      </w:pPr>
      <w:r>
        <w:rPr/>
        <w:t>We now need to defend our assertion that intangible assets are an indirect driver of value through their impact on profits and cash flow rather than a direct component of a company’s value.</w:t>
      </w:r>
    </w:p>
    <w:p>
      <w:pPr>
        <w:pStyle w:val="Normal"/>
        <w:rPr/>
      </w:pPr>
      <w:r>
        <w:rPr/>
        <w:t xml:space="preserve">To set up this discussion, let us assume two competing models of valuation.  The first model, call it the asset model, values a company as the sum of the value of its tangible and intangible assets.  The second model, the cash flow model, values a company based on its expected cash flows (or profits as a proxy).  Now let us value two companies, A and B using these two competing models.  </w:t>
      </w:r>
    </w:p>
    <w:p>
      <w:pPr>
        <w:pStyle w:val="Normal"/>
        <w:rPr/>
      </w:pPr>
      <w:r>
        <w:rPr/>
        <w:t>Both companies own the patent on the same drug for two separate but identical countries.  Both companies have factories and other physical assets valued at $100 million.  Both companies also have offers from other pharmaceutical companies to sell their patent for $120 million, so we can assume that the value of their intangible assets is $120 million.  Under the asset model, both companies would be valued at $220 million ($100 million plus $120 million).</w:t>
      </w:r>
    </w:p>
    <w:p>
      <w:pPr>
        <w:pStyle w:val="Normal"/>
        <w:rPr/>
      </w:pPr>
      <w:r>
        <w:rPr/>
        <w:t>Company A is expected to earn $25 million per year in after-tax cash flows.  Company B has a superior management team and is expected to earn $30 million per year in after-tax cash flows.  For simplicity, assume that the cash flows for both companies are expected to be earned in perpetuity and that investors can earn 10% per year on alternative investments of equivalent risk.  Using the cash flow model, company A would be valued at $250 million ($25million per year discounted at 10% in perpetuity), while company B would be valued at $300 million ($30 million per year discounted at 10% in perpetuity).</w:t>
      </w:r>
    </w:p>
    <w:p>
      <w:pPr>
        <w:pStyle w:val="Normal"/>
        <w:rPr/>
      </w:pPr>
      <w:r>
        <w:rPr/>
        <w:t>Using the asset model, both companies would be valued the same because they have exactly the same tangible and intangible assets.  Using the cash flow model, their values are different, reflecting the differing ability of their management teams to convert their tangible and intangible assets into cash flow.  Intuitively, this suggests a clear deficiency of the asset model.</w:t>
      </w:r>
    </w:p>
    <w:p>
      <w:pPr>
        <w:pStyle w:val="Normal"/>
        <w:rPr/>
      </w:pPr>
      <w:r>
        <w:rPr/>
        <w:t>But we can go farther in comparing the models more scientifically.  If the market valued the companies at only $220 million, investors could buy shares in the companies and earn an 11.4% return on investment per year in the case of company A ($25 million/$220 million) and a 13.6% return on investment per year in the case of company B.  Seeing an opportunity to earn returns higher than 10%, many investors would rush to buy shares of both companies, pushing their values up to $250 million and $300 million respectively for A and B.</w:t>
      </w:r>
    </w:p>
    <w:p>
      <w:pPr>
        <w:pStyle w:val="Normal"/>
        <w:rPr/>
      </w:pPr>
      <w:r>
        <w:rPr/>
        <w:t>It could be argued that the difference between the cash flow values of the companies and their asset values ($30 million for company A and $80 million for company B) represent an additional intangible asset.  This intangible asset could be called “management quality” or maybe the “management system.”   If we accepted this reasoning then the asset model would value company A as the sum of its tangible assets plus both of its intangible assets, the value of the patent and the value of it management system (or $250 million).  Similarly, Company B would be valued at $300 million.</w:t>
      </w:r>
    </w:p>
    <w:p>
      <w:pPr>
        <w:pStyle w:val="Normal"/>
        <w:rPr/>
      </w:pPr>
      <w:r>
        <w:rPr/>
        <w:t>But how would you know that the management system at company A should be worth $30 million, while the management system at company B should be worth $80 million?  In the case of the patent on the drug, we stated that both companies had received offers from other companies to sell the patent for $120 million.  A patent is easily sold to another company, so a market value can be established.  But the management system is not easily tradable because it cannot be separated from the company itself.  A deficiency of the asset model is the inability to value all the intangible assets of the company, particularly those that are not tradable or where the market is not liquid (many trademarks or patents).  The only way to value all the intangibles of a company is to know the total value of the company and then infer the value of intangibles.</w:t>
      </w:r>
    </w:p>
    <w:p>
      <w:pPr>
        <w:pStyle w:val="Heading2"/>
        <w:ind w:hanging="0" w:start="0"/>
        <w:rPr/>
      </w:pPr>
      <w:r>
        <w:rPr/>
        <w:t>Balance sheet Not Intended to measure the value of a company</w:t>
      </w:r>
    </w:p>
    <w:p>
      <w:pPr>
        <w:pStyle w:val="Normal"/>
        <w:rPr/>
      </w:pPr>
      <w:r>
        <w:rPr/>
        <w:t>In this section we explain that the balance sheet of a company was never intended to measure the value of the company.  The balance sheet is better thought of as measuring the cost of investments made by the company to produce future profits and cash flows.  But first, we provide a brief explanation of the current accounting rules for intangibles.</w:t>
      </w:r>
    </w:p>
    <w:p>
      <w:pPr>
        <w:pStyle w:val="Heading3"/>
        <w:ind w:hanging="0" w:start="0"/>
        <w:rPr/>
      </w:pPr>
      <w:r>
        <w:rPr/>
        <w:t>How the current system works</w:t>
      </w:r>
    </w:p>
    <w:p>
      <w:pPr>
        <w:pStyle w:val="Normal"/>
        <w:rPr/>
      </w:pPr>
      <w:r>
        <w:rPr/>
        <w:t>Companies prepare financial statements using Generally Accepted Accounting Principles (GAAP) as defined the Financial Accounting Standards Board (FASB), a non-profit organization. The Securities and Exchange Commission has looked to the FASB to establish accounting rules.</w:t>
      </w:r>
    </w:p>
    <w:p>
      <w:pPr>
        <w:pStyle w:val="Normal"/>
        <w:rPr/>
      </w:pPr>
      <w:r>
        <w:rPr/>
        <w:t xml:space="preserve">Under GAAP, the general rule is that the costs associated with creating and developing intangible assets are recorded as an expense on the company’s income statement in the year the expenditures are incurred (intangible assets which are purchased are an exception discussed below).  This is in contrast with expenditures on tangible assets, such as factories, which are capitalized as an asset on the company’s balance sheet and them depreciated or amortized through the company’s income statement over the estimated life of the asset.  </w:t>
      </w:r>
    </w:p>
    <w:p>
      <w:pPr>
        <w:pStyle w:val="Normal"/>
        <w:rPr/>
      </w:pPr>
      <w:r>
        <w:rPr/>
        <w:t>This means that expenditures for research, development, brand building (marketing and advertising), building human capital (employee training) are recorded as expenses not as assets regardless of the fact that companies make these expenditures in anticipation of future benefits.</w:t>
      </w:r>
      <w:r>
        <w:rPr>
          <w:rStyle w:val="FootnoteCharacters"/>
          <w:rStyle w:val="FootnoteReference"/>
        </w:rPr>
        <w:footnoteReference w:id="13"/>
      </w:r>
    </w:p>
    <w:p>
      <w:pPr>
        <w:pStyle w:val="Normal"/>
        <w:rPr/>
      </w:pPr>
      <w:r>
        <w:rPr/>
        <w:t>Intangible assets that are purchased (such as patents, customer lists, or the right to use a brand name) are capitalized and amortized over the estimated life of the asset, similar to the treatment of tangible assets.</w:t>
      </w:r>
    </w:p>
    <w:p>
      <w:pPr>
        <w:pStyle w:val="Normal"/>
        <w:rPr/>
      </w:pPr>
      <w:r>
        <w:rPr/>
        <w:t>When intangible assets are purchased as part of the acquisition of an entire company or business unit, the rules are complex.  In most cases, the purchase method of accounting is required.  Under this method, the purchase price of the company is first allocated to identifiable tangible and intangible assets, based on the fair market value of the assets.  These assets are depreciated or amortized normally.  The excess of the purchase price over the fair market value of the identified tangible and intangible assets is recorded as an intangible asset called "goodwill".  Goodwill is amortized over a period up to 40 years.</w:t>
      </w:r>
    </w:p>
    <w:p>
      <w:pPr>
        <w:pStyle w:val="Normal"/>
        <w:rPr/>
      </w:pPr>
      <w:r>
        <w:rPr/>
        <w:t>If an acquisition is made using shares of the acquiring company and a number of other requirements are met, the acquisition may be accounted for using the pooling of interests method of accounting.  Under this method, the balance sheets of the two companies are combined using the book values of the two companies.  The purchase price of the company is not reflected in the financial statements.  In other words, no goodwill is recorded, so it does not have to be amortized.</w:t>
      </w:r>
    </w:p>
    <w:p>
      <w:pPr>
        <w:pStyle w:val="Normal"/>
        <w:rPr/>
      </w:pPr>
      <w:r>
        <w:rPr/>
        <w:t>Changes to the accounting for business combinations have be debated for a number of years.  In January 2001, the FASB put forth a new proposal that is likely to be adopted.  Under this latest proposal, the pooling of interests method would be eliminated.  The purchase method would be used for all business combinations.  At the same time, the purchase method would be modified and the amortization of goodwill would be eliminated.  Goodwill would remain on a company’s balance sheet at the amount recorded on the acquisition date until it was determined that there was a substantial impairment in the value of the goodwill.  At the time of such determination, the value of the goodwill would be written down by the amount of the impairment.</w:t>
      </w:r>
    </w:p>
    <w:p>
      <w:pPr>
        <w:pStyle w:val="Heading3"/>
        <w:ind w:hanging="0" w:start="0"/>
        <w:rPr/>
      </w:pPr>
      <w:r>
        <w:rPr/>
        <w:t>Market Value Does Not Equal Book Value</w:t>
      </w:r>
    </w:p>
    <w:p>
      <w:pPr>
        <w:pStyle w:val="Normal"/>
        <w:rPr/>
      </w:pPr>
      <w:r>
        <w:rPr/>
        <w:t xml:space="preserve">One of the criticisms made about the current accounting system is that the book value of a company often does not equal its market value.  In particular, critics often point to the increases in market values relative to book values in recent years as a failing of the accounting system.  This critique is based on a misunderstanding of the role of the stock market versus company provided information in the valuation of companies.  </w:t>
      </w:r>
    </w:p>
    <w:p>
      <w:pPr>
        <w:pStyle w:val="Normal"/>
        <w:rPr/>
      </w:pPr>
      <w:r>
        <w:rPr/>
        <w:t>The value of a company is determined by the interaction of large groups of investors trading the company’s shares in the stock market.  It is not the job of the company, its management or its accountants to value the company.  It can be argued that the company should provide information to investors to help them value the company, but that is different than telling the market what the value of the company should be.  Besides, if the company tried to tell the market what the value of the company should be, the market would not believe the company anyway.</w:t>
      </w:r>
    </w:p>
    <w:p>
      <w:pPr>
        <w:pStyle w:val="Normal"/>
        <w:rPr/>
      </w:pPr>
      <w:r>
        <w:rPr/>
        <w:t>The balance sheet of a company is prepared on an historical cost basis</w:t>
      </w:r>
      <w:r>
        <w:rPr>
          <w:rStyle w:val="FootnoteCharacters"/>
          <w:rStyle w:val="FootnoteReference"/>
        </w:rPr>
        <w:footnoteReference w:id="14"/>
      </w:r>
      <w:r>
        <w:rPr/>
        <w:t>.  The assets are recorded on the balance sheet at cost less accumulated depreciation, not market value.</w:t>
      </w:r>
      <w:r>
        <w:rPr>
          <w:rStyle w:val="FootnoteCharacters"/>
          <w:rStyle w:val="FootnoteReference"/>
        </w:rPr>
        <w:footnoteReference w:id="15"/>
      </w:r>
      <w:r>
        <w:rPr/>
        <w:t xml:space="preserve">  One way to think about the balance sheet of a company is to view the balance sheet as representing the investments that the company has made, not the value of the company.  This distinction between how much a company has invested versus what the company is worth is important.  The market wants objective information about how much the company has invested (both in tangibles and intangibles).  If a company were constantly revaluing the balance sheet to reflect the management’s judgement about the value of assets, the balance sheet would become less useful to investors as a reasonably objective estimate of the investments made by the company.  </w:t>
      </w:r>
    </w:p>
    <w:p>
      <w:pPr>
        <w:pStyle w:val="Normal"/>
        <w:rPr/>
      </w:pPr>
      <w:r>
        <w:rPr/>
        <w:t>Even if intangibles were capitalized like tangible assets, the gap between the market value of a company and its book value would not disappear.  As we saw earlier in the case of companies A and B, a good management team can generate profits and cash flows that increase the value of a company beyond the value of its tangible and intangible assets.</w:t>
      </w:r>
    </w:p>
    <w:p>
      <w:pPr>
        <w:pStyle w:val="Heading2"/>
        <w:ind w:hanging="0" w:start="0"/>
        <w:rPr/>
      </w:pPr>
      <w:r>
        <w:rPr/>
        <w:t>Improvements in reporting should focus on supplemental disclosures</w:t>
      </w:r>
    </w:p>
    <w:p>
      <w:pPr>
        <w:pStyle w:val="Normal"/>
        <w:rPr/>
      </w:pPr>
      <w:r>
        <w:rPr/>
        <w:t>For mature (stage 3) companies, the current level of profits and cash flows are often good indicators of the strength of a company’s intangible assets.  Therefore, investors can take short cuts in assessing long-term profits and cash flows, anchoring their forecasts by looking primarily at current profits and cash flows.  Until recently, most public companies were stage 3 companies, so systematic approaches to intangibles were not so visibly important.  Now that there are many more listed stage 1 and 2 companies, investors need stage 1 and 2 type information, specifically, they need information about the intangible assets of the company and operational indicators (like number of site visitors, number of repeat customers, etc.) to help with their assessment.</w:t>
      </w:r>
    </w:p>
    <w:p>
      <w:pPr>
        <w:pStyle w:val="Normal"/>
        <w:rPr/>
      </w:pPr>
      <w:r>
        <w:rPr/>
        <w:t>Current company reporting requirements primarily define rules for preparing the core financial statements (the income statement, balance sheet, and cash flow statements) and some supplemental information (such as footnotes to the financial statements and the “Management’s Discussion and Analysis of Operations”.  Improving reporting in these areas is an important opportunity.  Investors would benefit from improved supplemental information about intangible assets and operating metrics.</w:t>
      </w:r>
    </w:p>
    <w:p>
      <w:pPr>
        <w:pStyle w:val="Normal"/>
        <w:rPr/>
      </w:pPr>
      <w:r>
        <w:rPr/>
        <w:t>Companies voluntarily provide supplemental information to investors to help them assess the value of their company.  This information is provided in annual and quarterly reports, press releases, analyst presentations and conference calls.  Companies in many industries, not just Internet companies, are responding to investor demands for more information that will help them assess the value of companies.  A group sponsored by SEC issued a report in January 2001, that documents many of the voluntary disclosures made by companies in eight different industries.</w:t>
      </w:r>
      <w:r>
        <w:rPr>
          <w:rStyle w:val="FootnoteCharacters"/>
          <w:rStyle w:val="FootnoteReference"/>
        </w:rPr>
        <w:footnoteReference w:id="16"/>
      </w:r>
      <w:r>
        <w:rPr/>
        <w:t xml:space="preserve">  </w:t>
      </w:r>
    </w:p>
    <w:p>
      <w:pPr>
        <w:pStyle w:val="Normal"/>
        <w:rPr/>
      </w:pPr>
      <w:r>
        <w:rPr/>
        <w:t>There are many examples in the Internet world where companies provide substantial non-financial information to help investors understand their potential for long-term revenues and profits:</w:t>
      </w:r>
    </w:p>
    <w:p>
      <w:pPr>
        <w:pStyle w:val="01parapoint"/>
        <w:numPr>
          <w:ilvl w:val="0"/>
          <w:numId w:val="5"/>
        </w:numPr>
        <w:tabs>
          <w:tab w:val="left" w:pos="1051" w:leader="none"/>
        </w:tabs>
        <w:ind w:hanging="0" w:start="0"/>
        <w:rPr/>
      </w:pPr>
      <w:r>
        <w:rPr/>
        <w:t>Amazon.com releases figures for how many new customers it added in the last quarter, number of unique visitors, what percent of customers were repeat buyers, how many new “stores” it opened, and what new partnerships it has formed.</w:t>
      </w:r>
    </w:p>
    <w:p>
      <w:pPr>
        <w:pStyle w:val="01parapoint"/>
        <w:numPr>
          <w:ilvl w:val="0"/>
          <w:numId w:val="5"/>
        </w:numPr>
        <w:tabs>
          <w:tab w:val="left" w:pos="1051" w:leader="none"/>
        </w:tabs>
        <w:ind w:hanging="0" w:start="0"/>
        <w:rPr/>
      </w:pPr>
      <w:r>
        <w:rPr/>
        <w:t>E-bay, the on-line auction house releases figures for total transaction volume, number of auctions hosted, and average transaction size.</w:t>
      </w:r>
    </w:p>
    <w:p>
      <w:pPr>
        <w:pStyle w:val="01parapoint"/>
        <w:numPr>
          <w:ilvl w:val="0"/>
          <w:numId w:val="5"/>
        </w:numPr>
        <w:tabs>
          <w:tab w:val="left" w:pos="1051" w:leader="none"/>
        </w:tabs>
        <w:ind w:hanging="0" w:start="0"/>
        <w:rPr/>
      </w:pPr>
      <w:r>
        <w:rPr/>
        <w:t>E-trade, the on-line broker, releases figures for new accounts, acquisition costs per account, average number of transactions per day, page views, size of assets held in customer accounts.</w:t>
      </w:r>
    </w:p>
    <w:p>
      <w:pPr>
        <w:pStyle w:val="Normal"/>
        <w:rPr/>
      </w:pPr>
      <w:r>
        <w:rPr/>
        <w:t>These voluntary disclosures tend to evolve over time as companies and investors learn from each other what is important for valuation.  For example, early in the Internet boom, analysts and companies focused on the number of times a site was accessed.  As the industry developed, attention shifted to more sophisticated measures like number of unique visitors, page views and conversion rates.</w:t>
      </w:r>
    </w:p>
    <w:p>
      <w:pPr>
        <w:pStyle w:val="Normal"/>
        <w:rPr/>
      </w:pPr>
      <w:r>
        <w:rPr/>
        <w:t>Why should companies voluntarily provide this information?  CEOs want a high share value.  A higher share value leads to better compensation, higher values for their share options, cheaper access to capital markets, better press coverage and more flexibility to build their business.  So companies compete for investors just like they compete for customers.  If a company has a good story to tell, it’s to their benefit to provide investors with the data to support their story.  Investors, on the other hand, are suspicious of companies that are unwilling to provide adequate data.  The logical conclusion is that tight-lipped companies must be hiding some bad news, except in cases where competitive forces favor secrecy.</w:t>
      </w:r>
    </w:p>
    <w:p>
      <w:pPr>
        <w:pStyle w:val="Normal"/>
        <w:rPr/>
      </w:pPr>
      <w:r>
        <w:rPr/>
        <w:t>On the other hand, though, a purely voluntary approach has some drawbacks.  Companies can selectively decide to disclose only information that paints them in a favorable light.  They can change the information they report from one period to the next.  Finally, companies are not always clear about how they define and calculate supplemental measures.  It is important to emphasize that company reports are valuable because they allow for comparisons to be made among different investment opportunities.  Thus clear definitions and industry-wide standards are critical.</w:t>
      </w:r>
    </w:p>
    <w:p>
      <w:pPr>
        <w:pStyle w:val="Normal"/>
        <w:rPr/>
      </w:pPr>
      <w:r>
        <w:rPr/>
        <w:t>One of the principal barriers to moving forward with better reporting is the absence of a framework or language for supplemental reporting that could be immediately implemented.  This problem is well recognized.  Academics, the accounting firms and other organizations have begun to tackle the problem, but no approach has gained widespread acceptance.</w:t>
      </w:r>
    </w:p>
    <w:p>
      <w:pPr>
        <w:pStyle w:val="Normal"/>
        <w:rPr/>
      </w:pPr>
      <w:r>
        <w:rPr/>
        <w:t>One example -- and only an example -- would be a framework whereby a company describes those intangible assets that are most critical to its business model.  With regard to each intangible identified, the company could provide a description of its “characteristics of value”— the things that make the asset valuable.  Qualitative information about an intangible asset is meaningful especially if it is backed up with quantitative information that supports the qualitative assessment.  For example, a company’s web site domain name, or URL, could be described as having extraordinary brand value based on the quantitative measures of “hits” or visits to the web site.  Similarly, customer loyalty is a valuable intangible asset based on measures such as repeat purchases, customer referrals and other operational metrics.</w:t>
      </w:r>
    </w:p>
    <w:p>
      <w:pPr>
        <w:pStyle w:val="Normal"/>
        <w:rPr/>
      </w:pPr>
      <w:r>
        <w:rPr/>
        <w:t>Another example is the approach proposed by Professor Baruch Lev of New York University.  Professor Baruch Lev proposes a Value Chain Scoreboard that separates value creation into three steps:  discovery, implementation, and commercialization</w:t>
      </w:r>
      <w:r>
        <w:rPr>
          <w:rStyle w:val="FootnoteCharacters"/>
          <w:rStyle w:val="FootnoteReference"/>
        </w:rPr>
        <w:footnoteReference w:id="17"/>
      </w:r>
      <w:r>
        <w:rPr/>
        <w:t>.  Each step has a number of subcomponents.  Discovery has three subcomponents: internal renewal, acquired knowledge and networking.  Similarly, each subcomponent has different steps and measures.</w:t>
      </w:r>
    </w:p>
    <w:p>
      <w:pPr>
        <w:pStyle w:val="Normal"/>
        <w:rPr/>
      </w:pPr>
      <w:r>
        <w:rPr/>
        <w:t>The major difficulty in regulating the use of any standard framework, however, is that most useful disclosures are specific to the industry and company.  It is probably not practical for any regulatory body to define precisely effective disclosures for hundreds of different industries. Even if regulations could be written that covered the multitude of industries, in many industries the pace of change is so rapid that it is unlikely that regulators could actually change the disclosures quickly enough to keep up with the needs of investors.</w:t>
      </w:r>
    </w:p>
    <w:p>
      <w:pPr>
        <w:pStyle w:val="Heading1"/>
        <w:ind w:hanging="547" w:start="547"/>
        <w:rPr/>
      </w:pPr>
      <w:r>
        <w:rPr/>
        <w:t>Background Paper:  Safe Harbor Disclosure Provisions</w:t>
      </w:r>
      <w:r>
        <w:rPr>
          <w:rStyle w:val="FootnoteCharacters"/>
          <w:rStyle w:val="FootnoteReference"/>
          <w:sz w:val="28"/>
        </w:rPr>
        <w:footnoteReference w:customMarkFollows="1" w:id="18"/>
        <w:t>*</w:t>
      </w:r>
    </w:p>
    <w:p>
      <w:pPr>
        <w:pStyle w:val="Normal"/>
        <w:rPr/>
      </w:pPr>
      <w:r>
        <w:rPr/>
        <w:t>In 1995, Congress passed the Private Securities Litigation Reform Act (“PSLRA”).  The PSLRA was enacted with two purposes:  (1) to minimize the increasing number of merit-less class action lawsuits filed in response to a company’s falling stock price, alleging that some disclosure (or lack of disclosure) was either false or misleading and, (2) to promote additional company disclosure to investors by companies concerned with litigation risk.  To decrease the number of merit-less lawsuits, the PSLRA included provisions to discourage these suits and, for the ones that are filed, laws that would allow for a quick, inexpensive and early disposal of these suits.  The PSLRA also created a “safe harbor”, which immunizes certain types of forward-looking statements made by companies and thus creates a structure by which companies can provide more information to investors.</w:t>
      </w:r>
    </w:p>
    <w:p>
      <w:pPr>
        <w:pStyle w:val="Normal"/>
        <w:rPr/>
      </w:pPr>
      <w:r>
        <w:rPr/>
        <w:t>The PSLRA has accomplished some of its goals.  For one, companies are providing more forward-looking guidance than before the Act.  Also, the percentage of lawsuits dismissed early in their filing stages (what some argue is the purpose of the Act) has increased dramatically since the PSLRA was enacted. On the other hand, companies are being sued even more than before the Act.  The average yearly number of securities class action suits brought against companies has actually increased since 1995.</w:t>
      </w:r>
    </w:p>
    <w:p>
      <w:pPr>
        <w:pStyle w:val="Heading2"/>
        <w:ind w:hanging="0" w:start="0"/>
        <w:rPr/>
      </w:pPr>
      <w:r>
        <w:rPr/>
        <w:t>Mechanics of the Private Securities Litigation Reform Act of 1995</w:t>
      </w:r>
    </w:p>
    <w:p>
      <w:pPr>
        <w:pStyle w:val="Normal"/>
        <w:rPr/>
      </w:pPr>
      <w:r>
        <w:rPr/>
        <w:t>To decrease the number of frivolous securities class action lawsuits, the PSLRA included a number of provisions to strengthen the defendant’s (the company’s) legal position.  First, the Act created a heightened pleading standard, mandating that complaints “state with particularity facts giving rise to a strong inference that the defendant acted with the required (deliberately reckless or conscious misconduct) state of mind”.  Second, the PSLRA bars discovery until after a judge has ruled on whether the case should be dismissed.  This provision ruins the common practice of lawyer’s filing a frivolous suit just to get access to a company’s internal documents and then finding the basis for a suit.  Third, the Act tries to limit “lawyer-driven litigation” by directing the “lead plaintiff” status (which determines the lead counsel) go to the investor who has suffered the biggest loss and not to the plaintiff that files first.  By changing this provision, the PSLRA curtailed the standard lawyer practice of rushing to file a suit first (hoping to be lead counsel) without regard for the evidence.</w:t>
      </w:r>
    </w:p>
    <w:p>
      <w:pPr>
        <w:pStyle w:val="Normal"/>
        <w:rPr/>
      </w:pPr>
      <w:r>
        <w:rPr/>
        <w:t>To promote additional company disclosure, the PSLRA enacted a “safe harbor”, which immunizes companies when they make forward-looking statements as long as these statements are followed by “meaningful cautionary statements”.  Protected forward-looking statements include:</w:t>
      </w:r>
    </w:p>
    <w:p>
      <w:pPr>
        <w:pStyle w:val="01parapoint"/>
        <w:numPr>
          <w:ilvl w:val="0"/>
          <w:numId w:val="5"/>
        </w:numPr>
        <w:tabs>
          <w:tab w:val="left" w:pos="1051" w:leader="none"/>
        </w:tabs>
        <w:ind w:hanging="0" w:start="0"/>
        <w:rPr/>
      </w:pPr>
      <w:r>
        <w:rPr/>
        <w:t>Any financial projections,</w:t>
      </w:r>
    </w:p>
    <w:p>
      <w:pPr>
        <w:pStyle w:val="01parapoint"/>
        <w:numPr>
          <w:ilvl w:val="0"/>
          <w:numId w:val="5"/>
        </w:numPr>
        <w:tabs>
          <w:tab w:val="left" w:pos="1051" w:leader="none"/>
        </w:tabs>
        <w:ind w:hanging="0" w:start="0"/>
        <w:rPr/>
      </w:pPr>
      <w:r>
        <w:rPr/>
        <w:t xml:space="preserve">Future management plans and objectives, </w:t>
      </w:r>
    </w:p>
    <w:p>
      <w:pPr>
        <w:pStyle w:val="01parapoint"/>
        <w:numPr>
          <w:ilvl w:val="0"/>
          <w:numId w:val="5"/>
        </w:numPr>
        <w:tabs>
          <w:tab w:val="left" w:pos="1051" w:leader="none"/>
        </w:tabs>
        <w:ind w:hanging="0" w:start="0"/>
        <w:rPr/>
      </w:pPr>
      <w:r>
        <w:rPr/>
        <w:t xml:space="preserve">Statements of future economic performance, and </w:t>
      </w:r>
    </w:p>
    <w:p>
      <w:pPr>
        <w:pStyle w:val="01parapoint"/>
        <w:numPr>
          <w:ilvl w:val="0"/>
          <w:numId w:val="5"/>
        </w:numPr>
        <w:tabs>
          <w:tab w:val="left" w:pos="1051" w:leader="none"/>
        </w:tabs>
        <w:ind w:hanging="0" w:start="0"/>
        <w:rPr/>
      </w:pPr>
      <w:r>
        <w:rPr/>
        <w:t>Any statement of assumptions that are key to understanding these types of statements.</w:t>
      </w:r>
    </w:p>
    <w:p>
      <w:pPr>
        <w:pStyle w:val="Normal"/>
        <w:rPr/>
      </w:pPr>
      <w:r>
        <w:rPr/>
        <w:t>The “meaningful cautionary statement” following these forward-looking statements should identify “important factors that could cause actual results to differ materially from those in the forward-looking statement”.  It is important to note that even if a forward-looking statement is unaccompanied by cautionary language, the safe harbor also provides immunity to companies if the plaintiff is unable to prove actual knowledge of falsity on the part of the company.  Further, the safe harbor protects “immaterial” company forward-looking statements.  In general, the safe harbor is formulated to immunize companies from legal liability unless a plaintiff can prove that the company knowingly committed fraud through the disclosure (or lack of disclosure) of company information.</w:t>
      </w:r>
    </w:p>
    <w:p>
      <w:pPr>
        <w:pStyle w:val="Heading2"/>
        <w:ind w:hanging="0" w:start="0"/>
        <w:rPr/>
      </w:pPr>
      <w:r>
        <w:rPr/>
        <w:t>Impact of PSLRA</w:t>
      </w:r>
    </w:p>
    <w:p>
      <w:pPr>
        <w:pStyle w:val="Normal"/>
        <w:rPr/>
      </w:pPr>
      <w:r>
        <w:rPr/>
        <w:t>The impact of the PSLRA is not clear-cut.  On the positive side, companies appear to be disclosing more information today than they did before the Act.  Also, the Act has been successful in raising the percentage of lawsuits that get dismissed early in their filing stages.  According to some estimates, the number of cases being dismissed has risen to approximately 30% post-Act, versus about 13% before the Act  (Some argue that this is a real testament to the effectiveness of the Act, as they believe that the Act was intended to reduce the cost of settling frivolous lawsuits by encouraging the courts to dismiss such cases early on and not designed to reduce the overall number of cases filed).</w:t>
      </w:r>
      <w:r>
        <w:rPr>
          <w:rStyle w:val="FootnoteCharacters"/>
          <w:rStyle w:val="FootnoteReference"/>
        </w:rPr>
        <w:footnoteReference w:id="19"/>
      </w:r>
      <w:r>
        <w:rPr/>
        <w:t xml:space="preserve">  On the other hand, the average number of federal securities class action suits filed per year has actually gone up since 1995.  For 1991-1995, on average, 189 federal securities class action suits were filed per year.  For 1996-1999, this number rose to 203 per year.</w:t>
      </w:r>
      <w:r>
        <w:rPr>
          <w:rStyle w:val="FootnoteCharacters"/>
        </w:rPr>
        <w:t xml:space="preserve"> </w:t>
      </w:r>
      <w:r>
        <w:rPr>
          <w:rStyle w:val="FootnoteCharacters"/>
          <w:rStyle w:val="FootnoteReference"/>
        </w:rPr>
        <w:footnoteReference w:id="20"/>
      </w:r>
      <w:r>
        <w:rPr/>
        <w:t xml:space="preserve">  The average settlement per case has also risen, from pre-reform levels of $8.5 million to an average of $12 million for 1996-1999.</w:t>
      </w:r>
      <w:r>
        <w:rPr>
          <w:rStyle w:val="FootnoteCharacters"/>
          <w:rStyle w:val="FootnoteReference"/>
        </w:rPr>
        <w:footnoteReference w:id="21"/>
      </w:r>
    </w:p>
    <w:p>
      <w:pPr>
        <w:pStyle w:val="Normal"/>
        <w:rPr/>
      </w:pPr>
      <w:r>
        <w:rPr/>
        <w:t>There are various hypotheses on why there has been an upswing in these figures.  Plaintiffs’ attorneys claim that there is an increased amount of fraud in today’s stock market, pointing to the prevalence of accounting restatements and illegitimate insider trading scandals.  Defense attorneys blame the increased volatility in the stock market over recent years.  While there is no consensus view of why the number of lawsuits has increased, there is hard data on how investors are circumventing the Act.  For one, many suits now allege accounting fraud, which is not covered by the PSLRA.  There is direct evidence of this as from 1991-1995, an average of 38% of all cases involved accusations of accounting fraud.  This percentage rose to 53% for the four years after the Act’s passage.</w:t>
      </w:r>
      <w:r>
        <w:rPr>
          <w:rStyle w:val="FootnoteCharacters"/>
          <w:rStyle w:val="FootnoteReference"/>
        </w:rPr>
        <w:footnoteReference w:id="22"/>
      </w:r>
      <w:r>
        <w:rPr/>
        <w:t xml:space="preserve">  Further, the number of cases that allege insider trading (also not covered by the PSLRA) also appear to have increased.  Nearly 56% of post-PSLRA filings contained insider-trading allegations.</w:t>
      </w:r>
      <w:r>
        <w:rPr>
          <w:rStyle w:val="FootnoteCharacters"/>
          <w:rStyle w:val="FootnoteReference"/>
        </w:rPr>
        <w:footnoteReference w:id="23"/>
      </w:r>
      <w:r>
        <w:rPr/>
        <w:t xml:space="preserve">  Plaintiffs also tried to bypass the Federal governance of the PSLRA by suing companies in state court rather than federal court.  However, in 1998 the Securities Litigation Uniform Standards Act closed this loophole.</w:t>
      </w:r>
    </w:p>
    <w:p>
      <w:pPr>
        <w:pStyle w:val="Normal"/>
        <w:spacing w:before="0" w:after="180"/>
        <w:rPr/>
      </w:pPr>
      <w:r>
        <w:rPr/>
      </w:r>
    </w:p>
    <w:sectPr>
      <w:headerReference w:type="default" r:id="rId12"/>
      <w:headerReference w:type="first" r:id="rId13"/>
      <w:footerReference w:type="default" r:id="rId14"/>
      <w:footerReference w:type="first" r:id="rId15"/>
      <w:footnotePr>
        <w:numFmt w:val="decimal"/>
      </w:footnotePr>
      <w:type w:val="nextPage"/>
      <w:pgSz w:w="12240" w:h="15840"/>
      <w:pgMar w:left="2347" w:right="1253" w:gutter="0" w:header="907" w:top="144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Wingdings">
    <w:charset w:val="02"/>
    <w:family w:val="auto"/>
    <w:pitch w:val="variable"/>
  </w:font>
  <w:font w:name="TIMES">
    <w:altName w:val="Times New Roman"/>
    <w:charset w:val="00" w:characterSet="windows-1252"/>
    <w:family w:val="roman"/>
    <w:pitch w:val="variable"/>
  </w:font>
  <w:font w:name="Courier New">
    <w:charset w:val="00" w:characterSet="windows-1252"/>
    <w:family w:val="modern"/>
    <w:pitch w:val="default"/>
  </w:font>
  <w:font w:name="Palatino Linotype">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80"/>
      <w:ind w:start="1944" w:end="1440"/>
      <w:rPr/>
    </w:pPr>
    <w:r>
      <w:rPr/>
    </w:r>
    <w:r>
      <mc:AlternateContent>
        <mc:Choice Requires="wps">
          <w:drawing>
            <wp:anchor behindDoc="0" distT="118745" distB="118745" distL="118745" distR="118745" simplePos="0" locked="0" layoutInCell="0" allowOverlap="1" relativeHeight="2">
              <wp:simplePos x="0" y="0"/>
              <wp:positionH relativeFrom="page">
                <wp:posOffset>457835</wp:posOffset>
              </wp:positionH>
              <wp:positionV relativeFrom="page">
                <wp:posOffset>10150475</wp:posOffset>
              </wp:positionV>
              <wp:extent cx="14605"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20955"/>
                      </a:xfrm>
                      <a:prstGeom prst="rect"/>
                      <a:solidFill>
                        <a:srgbClr val="FFFFFF">
                          <a:alpha val="0"/>
                        </a:srgbClr>
                      </a:solidFill>
                    </wps:spPr>
                    <wps:txbx>
                      <w:txbxContent>
                        <w:p>
                          <w:pPr>
                            <w:pStyle w:val="DocumentID-BLT"/>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/mnt/main-storage/datasets/enron-docs/doc/SEC_Task_Force_Draft_04092001.doc</w:t>
                          </w:r>
                          <w:r>
                            <w:rPr/>
                            <w:fldChar w:fldCharType="end"/>
                          </w:r>
                        </w:p>
                      </w:txbxContent>
                    </wps:txbx>
                    <wps:bodyPr anchor="t" lIns="0" tIns="0" rIns="0" bIns="0">
                      <a:noAutofit/>
                    </wps:bodyPr>
                  </wps:wsp>
                </a:graphicData>
              </a:graphic>
            </wp:anchor>
          </w:drawing>
        </mc:Choice>
        <mc:Fallback>
          <w:pict>
            <v:rect fillcolor="#FFFFFF" style="position:absolute;rotation:-0;width:1.15pt;height:1.65pt;mso-wrap-distance-left:9.35pt;mso-wrap-distance-right:9.35pt;mso-wrap-distance-top:9.35pt;mso-wrap-distance-bottom:9.35pt;margin-top:799.25pt;mso-position-vertical-relative:page;margin-left:36.05pt;mso-position-horizontal-relative:page">
              <v:fill opacity="0f"/>
              <v:textbox inset="0in,0in,0in,0in">
                <w:txbxContent>
                  <w:p>
                    <w:pPr>
                      <w:pStyle w:val="DocumentID-BLT"/>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/mnt/main-storage/datasets/enron-docs/doc/SEC_Task_Force_Draft_04092001.doc</w:t>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jc w:val="end"/>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83185" cy="189865"/>
              <wp:effectExtent l="0" t="0" r="0" b="0"/>
              <wp:wrapSquare wrapText="bothSides"/>
              <wp:docPr id="3" name="Frame3"/>
              <a:graphic xmlns:a="http://schemas.openxmlformats.org/drawingml/2006/main">
                <a:graphicData uri="http://schemas.microsoft.com/office/word/2010/wordprocessingShape">
                  <wps:wsp>
                    <wps:cNvSpPr txBox="1"/>
                    <wps:spPr>
                      <a:xfrm>
                        <a:off x="0" y="0"/>
                        <a:ext cx="83185" cy="189865"/>
                      </a:xfrm>
                      <a:prstGeom prst="rect"/>
                      <a:solidFill>
                        <a:srgbClr val="FFFFFF">
                          <a:alpha val="0"/>
                        </a:srgbClr>
                      </a:solidFill>
                    </wps:spPr>
                    <wps:txbx>
                      <w:txbxContent>
                        <w:p>
                          <w:pPr>
                            <w:pStyle w:val="Footer"/>
                            <w:spacing w:before="0" w:after="180"/>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5pt;height:14.95pt;mso-wrap-distance-left:0pt;mso-wrap-distance-right:0pt;mso-wrap-distance-top:0pt;mso-wrap-distance-bottom:0pt;margin-top:0.05pt;mso-position-vertical-relative:text;margin-left:425.45pt;mso-position-horizontal:right;mso-position-horizontal-relative:margin">
              <v:fill opacity="0f"/>
              <v:textbox inset="0in,0in,0in,0in">
                <w:txbxContent>
                  <w:p>
                    <w:pPr>
                      <w:pStyle w:val="Footer"/>
                      <w:spacing w:before="0" w:after="180"/>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r>
      <mc:AlternateContent>
        <mc:Choice Requires="wps">
          <w:drawing>
            <wp:anchor behindDoc="0" distT="118745" distB="118745" distL="118745" distR="118745" simplePos="0" locked="0" layoutInCell="0" allowOverlap="1" relativeHeight="9">
              <wp:simplePos x="0" y="0"/>
              <wp:positionH relativeFrom="page">
                <wp:posOffset>457835</wp:posOffset>
              </wp:positionH>
              <wp:positionV relativeFrom="page">
                <wp:posOffset>10150475</wp:posOffset>
              </wp:positionV>
              <wp:extent cx="3617595" cy="116840"/>
              <wp:effectExtent l="0" t="0" r="0" b="0"/>
              <wp:wrapSquare wrapText="bothSides"/>
              <wp:docPr id="4" name="Frame4"/>
              <a:graphic xmlns:a="http://schemas.openxmlformats.org/drawingml/2006/main">
                <a:graphicData uri="http://schemas.microsoft.com/office/word/2010/wordprocessingShape">
                  <wps:wsp>
                    <wps:cNvSpPr txBox="1"/>
                    <wps:spPr>
                      <a:xfrm>
                        <a:off x="0" y="0"/>
                        <a:ext cx="3617595" cy="116840"/>
                      </a:xfrm>
                      <a:prstGeom prst="rect"/>
                      <a:solidFill>
                        <a:srgbClr val="FFFFFF">
                          <a:alpha val="0"/>
                        </a:srgbClr>
                      </a:solidFill>
                    </wps:spPr>
                    <wps:txbx>
                      <w:txbxContent>
                        <w:p>
                          <w:pPr>
                            <w:pStyle w:val="DocumentID-BL"/>
                            <w:ind w:end="360"/>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/mnt/main-storage/datasets/enron-docs/doc/SEC_Task_Force_Draft_04092001.doc</w:t>
                          </w:r>
                          <w:r>
                            <w:rPr/>
                            <w:fldChar w:fldCharType="end"/>
                          </w:r>
                        </w:p>
                      </w:txbxContent>
                    </wps:txbx>
                    <wps:bodyPr anchor="t" lIns="0" tIns="0" rIns="0" bIns="0">
                      <a:noAutofit/>
                    </wps:bodyPr>
                  </wps:wsp>
                </a:graphicData>
              </a:graphic>
            </wp:anchor>
          </w:drawing>
        </mc:Choice>
        <mc:Fallback>
          <w:pict>
            <v:rect fillcolor="#FFFFFF" style="position:absolute;rotation:-0;width:284.85pt;height:9.2pt;mso-wrap-distance-left:9.35pt;mso-wrap-distance-right:9.35pt;mso-wrap-distance-top:9.35pt;mso-wrap-distance-bottom:9.35pt;margin-top:799.25pt;mso-position-vertical-relative:page;margin-left:36.05pt;mso-position-horizontal-relative:page">
              <v:fill opacity="0f"/>
              <v:textbox inset="0in,0in,0in,0in">
                <w:txbxContent>
                  <w:p>
                    <w:pPr>
                      <w:pStyle w:val="DocumentID-BL"/>
                      <w:ind w:end="360"/>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/mnt/main-storage/datasets/enron-docs/doc/SEC_Task_Force_Draft_04092001.doc</w:t>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jc w:val="end"/>
      <w:rPr/>
    </w:pPr>
    <w:r>
      <w:rPr/>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83185" cy="189865"/>
              <wp:effectExtent l="0" t="0" r="0" b="0"/>
              <wp:wrapSquare wrapText="bothSides"/>
              <wp:docPr id="5" name="Frame5"/>
              <a:graphic xmlns:a="http://schemas.openxmlformats.org/drawingml/2006/main">
                <a:graphicData uri="http://schemas.microsoft.com/office/word/2010/wordprocessingShape">
                  <wps:wsp>
                    <wps:cNvSpPr txBox="1"/>
                    <wps:spPr>
                      <a:xfrm>
                        <a:off x="0" y="0"/>
                        <a:ext cx="83185" cy="189865"/>
                      </a:xfrm>
                      <a:prstGeom prst="rect"/>
                      <a:solidFill>
                        <a:srgbClr val="FFFFFF">
                          <a:alpha val="0"/>
                        </a:srgbClr>
                      </a:solidFill>
                    </wps:spPr>
                    <wps:txbx>
                      <w:txbxContent>
                        <w:p>
                          <w:pPr>
                            <w:pStyle w:val="Footer"/>
                            <w:spacing w:before="0" w:after="18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5pt;height:14.95pt;mso-wrap-distance-left:0pt;mso-wrap-distance-right:0pt;mso-wrap-distance-top:0pt;mso-wrap-distance-bottom:0pt;margin-top:0.05pt;mso-position-vertical-relative:text;margin-left:425.45pt;mso-position-horizontal:right;mso-position-horizontal-relative:margin">
              <v:fill opacity="0f"/>
              <v:textbox inset="0in,0in,0in,0in">
                <w:txbxContent>
                  <w:p>
                    <w:pPr>
                      <w:pStyle w:val="Footer"/>
                      <w:spacing w:before="0" w:after="18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r>
      <mc:AlternateContent>
        <mc:Choice Requires="wps">
          <w:drawing>
            <wp:anchor behindDoc="0" distT="118745" distB="118745" distL="118745" distR="118745" simplePos="0" locked="0" layoutInCell="0" allowOverlap="1" relativeHeight="11">
              <wp:simplePos x="0" y="0"/>
              <wp:positionH relativeFrom="page">
                <wp:posOffset>457835</wp:posOffset>
              </wp:positionH>
              <wp:positionV relativeFrom="page">
                <wp:posOffset>10150475</wp:posOffset>
              </wp:positionV>
              <wp:extent cx="3617595" cy="116840"/>
              <wp:effectExtent l="0" t="0" r="0" b="0"/>
              <wp:wrapSquare wrapText="bothSides"/>
              <wp:docPr id="6" name="Frame6"/>
              <a:graphic xmlns:a="http://schemas.openxmlformats.org/drawingml/2006/main">
                <a:graphicData uri="http://schemas.microsoft.com/office/word/2010/wordprocessingShape">
                  <wps:wsp>
                    <wps:cNvSpPr txBox="1"/>
                    <wps:spPr>
                      <a:xfrm>
                        <a:off x="0" y="0"/>
                        <a:ext cx="3617595" cy="116840"/>
                      </a:xfrm>
                      <a:prstGeom prst="rect"/>
                      <a:solidFill>
                        <a:srgbClr val="FFFFFF">
                          <a:alpha val="0"/>
                        </a:srgbClr>
                      </a:solidFill>
                    </wps:spPr>
                    <wps:txbx>
                      <w:txbxContent>
                        <w:p>
                          <w:pPr>
                            <w:pStyle w:val="DocumentID-BL"/>
                            <w:ind w:end="360"/>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/mnt/main-storage/datasets/enron-docs/doc/SEC_Task_Force_Draft_04092001.doc</w:t>
                          </w:r>
                          <w:r>
                            <w:rPr/>
                            <w:fldChar w:fldCharType="end"/>
                          </w:r>
                        </w:p>
                      </w:txbxContent>
                    </wps:txbx>
                    <wps:bodyPr anchor="t" lIns="0" tIns="0" rIns="0" bIns="0">
                      <a:noAutofit/>
                    </wps:bodyPr>
                  </wps:wsp>
                </a:graphicData>
              </a:graphic>
            </wp:anchor>
          </w:drawing>
        </mc:Choice>
        <mc:Fallback>
          <w:pict>
            <v:rect fillcolor="#FFFFFF" style="position:absolute;rotation:-0;width:284.85pt;height:9.2pt;mso-wrap-distance-left:9.35pt;mso-wrap-distance-right:9.35pt;mso-wrap-distance-top:9.35pt;mso-wrap-distance-bottom:9.35pt;margin-top:799.25pt;mso-position-vertical-relative:page;margin-left:36.05pt;mso-position-horizontal-relative:page">
              <v:fill opacity="0f"/>
              <v:textbox inset="0in,0in,0in,0in">
                <w:txbxContent>
                  <w:p>
                    <w:pPr>
                      <w:pStyle w:val="DocumentID-BL"/>
                      <w:ind w:end="360"/>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/mnt/main-storage/datasets/enron-docs/doc/SEC_Task_Force_Draft_04092001.doc</w:t>
                    </w:r>
                    <w: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jc w:val="end"/>
      <w:rPr/>
    </w:pPr>
    <w:r>
      <w:rPr/>
    </w:r>
    <w:r>
      <mc:AlternateContent>
        <mc:Choice Requires="wps">
          <w:drawing>
            <wp:anchor behindDoc="0" distT="0" distB="0" distL="0" distR="0" simplePos="0" locked="0" layoutInCell="0" allowOverlap="1" relativeHeight="50">
              <wp:simplePos x="0" y="0"/>
              <wp:positionH relativeFrom="margin">
                <wp:align>right</wp:align>
              </wp:positionH>
              <wp:positionV relativeFrom="paragraph">
                <wp:posOffset>635</wp:posOffset>
              </wp:positionV>
              <wp:extent cx="165735" cy="189865"/>
              <wp:effectExtent l="0" t="0" r="0" b="0"/>
              <wp:wrapSquare wrapText="bothSides"/>
              <wp:docPr id="7" name="Frame7"/>
              <a:graphic xmlns:a="http://schemas.openxmlformats.org/drawingml/2006/main">
                <a:graphicData uri="http://schemas.microsoft.com/office/word/2010/wordprocessingShape">
                  <wps:wsp>
                    <wps:cNvSpPr txBox="1"/>
                    <wps:spPr>
                      <a:xfrm>
                        <a:off x="0" y="0"/>
                        <a:ext cx="165735" cy="189865"/>
                      </a:xfrm>
                      <a:prstGeom prst="rect"/>
                      <a:solidFill>
                        <a:srgbClr val="FFFFFF">
                          <a:alpha val="0"/>
                        </a:srgbClr>
                      </a:solidFill>
                    </wps:spPr>
                    <wps:txbx>
                      <w:txbxContent>
                        <w:p>
                          <w:pPr>
                            <w:pStyle w:val="Footer"/>
                            <w:spacing w:before="0" w:after="18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05pt;height:14.95pt;mso-wrap-distance-left:0pt;mso-wrap-distance-right:0pt;mso-wrap-distance-top:0pt;mso-wrap-distance-bottom:0pt;margin-top:0.05pt;mso-position-vertical-relative:text;margin-left:418.95pt;mso-position-horizontal:right;mso-position-horizontal-relative:margin">
              <v:fill opacity="0f"/>
              <v:textbox inset="0in,0in,0in,0in">
                <w:txbxContent>
                  <w:p>
                    <w:pPr>
                      <w:pStyle w:val="Footer"/>
                      <w:spacing w:before="0" w:after="18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txbxContent>
              </v:textbox>
              <w10:wrap type="square"/>
            </v:rect>
          </w:pict>
        </mc:Fallback>
      </mc:AlternateContent>
    </w:r>
    <w:r>
      <mc:AlternateContent>
        <mc:Choice Requires="wps">
          <w:drawing>
            <wp:anchor behindDoc="0" distT="118745" distB="118745" distL="118745" distR="118745" simplePos="0" locked="0" layoutInCell="0" allowOverlap="1" relativeHeight="89">
              <wp:simplePos x="0" y="0"/>
              <wp:positionH relativeFrom="page">
                <wp:posOffset>457835</wp:posOffset>
              </wp:positionH>
              <wp:positionV relativeFrom="page">
                <wp:posOffset>10150475</wp:posOffset>
              </wp:positionV>
              <wp:extent cx="3617595" cy="116840"/>
              <wp:effectExtent l="0" t="0" r="0" b="0"/>
              <wp:wrapSquare wrapText="bothSides"/>
              <wp:docPr id="8" name="Frame8"/>
              <a:graphic xmlns:a="http://schemas.openxmlformats.org/drawingml/2006/main">
                <a:graphicData uri="http://schemas.microsoft.com/office/word/2010/wordprocessingShape">
                  <wps:wsp>
                    <wps:cNvSpPr txBox="1"/>
                    <wps:spPr>
                      <a:xfrm>
                        <a:off x="0" y="0"/>
                        <a:ext cx="3617595" cy="116840"/>
                      </a:xfrm>
                      <a:prstGeom prst="rect"/>
                      <a:solidFill>
                        <a:srgbClr val="FFFFFF">
                          <a:alpha val="0"/>
                        </a:srgbClr>
                      </a:solidFill>
                    </wps:spPr>
                    <wps:txbx>
                      <w:txbxContent>
                        <w:p>
                          <w:pPr>
                            <w:pStyle w:val="DocumentID-BL"/>
                            <w:ind w:end="360"/>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/mnt/main-storage/datasets/enron-docs/doc/SEC_Task_Force_Draft_04092001.doc</w:t>
                          </w:r>
                          <w:r>
                            <w:rPr/>
                            <w:fldChar w:fldCharType="end"/>
                          </w:r>
                        </w:p>
                      </w:txbxContent>
                    </wps:txbx>
                    <wps:bodyPr anchor="t" lIns="0" tIns="0" rIns="0" bIns="0">
                      <a:noAutofit/>
                    </wps:bodyPr>
                  </wps:wsp>
                </a:graphicData>
              </a:graphic>
            </wp:anchor>
          </w:drawing>
        </mc:Choice>
        <mc:Fallback>
          <w:pict>
            <v:rect fillcolor="#FFFFFF" style="position:absolute;rotation:-0;width:284.85pt;height:9.2pt;mso-wrap-distance-left:9.35pt;mso-wrap-distance-right:9.35pt;mso-wrap-distance-top:9.35pt;mso-wrap-distance-bottom:9.35pt;margin-top:799.25pt;mso-position-vertical-relative:page;margin-left:36.05pt;mso-position-horizontal-relative:page">
              <v:fill opacity="0f"/>
              <v:textbox inset="0in,0in,0in,0in">
                <w:txbxContent>
                  <w:p>
                    <w:pPr>
                      <w:pStyle w:val="DocumentID-BL"/>
                      <w:ind w:end="360"/>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/mnt/main-storage/datasets/enron-docs/doc/SEC_Task_Force_Draft_04092001.doc</w:t>
                    </w:r>
                    <w: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sz w:val="24"/>
        </w:rPr>
        <w:t xml:space="preserve"> </w:t>
      </w:r>
      <w:r>
        <w:rPr>
          <w:sz w:val="24"/>
        </w:rPr>
        <w:t>Several background papers were prepared to facilitate the discussions of the task force.  These papers are not part of the task force’s conclusions and recommendations and should not be construed as representing a consensus of the task force members.</w:t>
      </w:r>
    </w:p>
  </w:footnote>
  <w:footnote w:id="3">
    <w:p>
      <w:pPr>
        <w:pStyle w:val="FootnoteText"/>
        <w:rPr/>
      </w:pPr>
      <w:r>
        <w:rPr>
          <w:rStyle w:val="FootnoteCharacters"/>
        </w:rPr>
        <w:footnoteRef/>
      </w:r>
      <w:r>
        <w:rPr/>
        <w:t xml:space="preserve"> </w:t>
      </w:r>
      <w:r>
        <w:rPr/>
        <w:t>In the remainder of our report, we typically refer primarily to supplemental disclosures about intangible assets and operating performance measures.  We intend this to include all information that would help investors asses future profits and cash flow.</w:t>
      </w:r>
    </w:p>
  </w:footnote>
  <w:footnote w:id="4">
    <w:p>
      <w:pPr>
        <w:pStyle w:val="FootnoteText"/>
        <w:rPr/>
      </w:pPr>
      <w:r>
        <w:rPr>
          <w:rStyle w:val="FootnoteCharacters"/>
        </w:rPr>
        <w:footnoteRef/>
      </w:r>
      <w:r>
        <w:rPr/>
        <w:t xml:space="preserve"> </w:t>
      </w:r>
      <w:r>
        <w:rPr/>
        <w:t xml:space="preserve">This approach is based on a framework suggested by Professor Baruch Lev (a member of the task force).  In Lev’s framework, value creation is separated into three steps: discovery, implementation, commercialization.  Each step has a number of subcomponents.  Discovery’s subcomponents are internal renewal, acquired knowledge and networking.  Each subcomponents has a number of measures.  See  Baruch Lev: </w:t>
      </w:r>
      <w:r>
        <w:rPr>
          <w:i/>
        </w:rPr>
        <w:t>Intangibles:  Management, Measurement and Reporting</w:t>
      </w:r>
      <w:r>
        <w:rPr/>
        <w:t>, Working Paper, October 2000.</w:t>
      </w:r>
    </w:p>
  </w:footnote>
  <w:footnote w:id="5">
    <w:p>
      <w:pPr>
        <w:pStyle w:val="FootnoteText"/>
        <w:rPr/>
      </w:pPr>
      <w:r>
        <w:rPr>
          <w:rStyle w:val="FootnoteCharacters"/>
        </w:rPr>
        <w:footnoteRef/>
      </w:r>
      <w:r>
        <w:rPr/>
        <w:t xml:space="preserve"> </w:t>
      </w:r>
      <w:r>
        <w:rPr>
          <w:i/>
          <w:iCs/>
        </w:rPr>
        <w:t>The Economist</w:t>
      </w:r>
      <w:r>
        <w:rPr/>
        <w:t>, April 15, 1999.</w:t>
      </w:r>
    </w:p>
  </w:footnote>
  <w:footnote w:id="6">
    <w:p>
      <w:pPr>
        <w:pStyle w:val="FootnoteText"/>
        <w:rPr/>
      </w:pPr>
      <w:r>
        <w:rPr>
          <w:rStyle w:val="FootnoteCharacters"/>
        </w:rPr>
        <w:t>*</w:t>
      </w:r>
      <w:r>
        <w:rPr/>
        <w:t xml:space="preserve"> </w:t>
      </w:r>
      <w:r>
        <w:rPr/>
        <w:t>This paper was prepared in early 2000 by Tim Koller and Boris Shurslep of McKinsey &amp; Company as a basis for the task force’s discussion.</w:t>
      </w:r>
    </w:p>
  </w:footnote>
  <w:footnote w:id="7">
    <w:p>
      <w:pPr>
        <w:pStyle w:val="FootnoteText"/>
        <w:rPr/>
      </w:pPr>
      <w:r>
        <w:rPr>
          <w:rStyle w:val="FootnoteCharacters"/>
        </w:rPr>
        <w:footnoteRef/>
      </w:r>
      <w:r>
        <w:rPr/>
        <w:t xml:space="preserve"> </w:t>
      </w:r>
      <w:r>
        <w:rPr/>
        <w:t>Jay Ritter, University of Florida, quoted in the Wall Street Journal March 7,2001.</w:t>
      </w:r>
    </w:p>
  </w:footnote>
  <w:footnote w:id="8">
    <w:p>
      <w:pPr>
        <w:pStyle w:val="FootnoteText"/>
        <w:rPr/>
      </w:pPr>
      <w:r>
        <w:rPr>
          <w:rStyle w:val="FootnoteCharacters"/>
        </w:rPr>
        <w:footnoteRef/>
      </w:r>
      <w:r>
        <w:rPr/>
        <w:t xml:space="preserve"> </w:t>
      </w:r>
      <w:r>
        <w:rPr/>
        <w:t>Jay Ritter reports that the average IPO shares available to the public in 1999 was 20%, compared with an historical average of 30%.  The impact of this difference is more extreme when you consider the large number of individual investors trying to buying IPO shares in 1999 and 2000, relative to history.</w:t>
      </w:r>
    </w:p>
  </w:footnote>
  <w:footnote w:id="9">
    <w:p>
      <w:pPr>
        <w:pStyle w:val="FootnoteText"/>
        <w:rPr/>
      </w:pPr>
      <w:r>
        <w:rPr>
          <w:rStyle w:val="FootnoteCharacters"/>
        </w:rPr>
        <w:footnoteRef/>
      </w:r>
      <w:r>
        <w:rPr/>
        <w:t xml:space="preserve"> </w:t>
      </w:r>
      <w:r>
        <w:rPr/>
        <w:t xml:space="preserve">Hal Varian is a member of this task force.  See Hal Varian, </w:t>
      </w:r>
      <w:r>
        <w:rPr>
          <w:i/>
          <w:iCs/>
        </w:rPr>
        <w:t xml:space="preserve">Economic Scene:  Comparing the Nasdaq bubble to tulipmania is unfair to the flowers, </w:t>
      </w:r>
      <w:r>
        <w:rPr/>
        <w:t>The New York Times, February 8,2001, Section C, p.2.</w:t>
      </w:r>
    </w:p>
  </w:footnote>
  <w:footnote w:id="10">
    <w:p>
      <w:pPr>
        <w:pStyle w:val="FootnoteText"/>
        <w:rPr/>
      </w:pPr>
      <w:r>
        <w:rPr>
          <w:rStyle w:val="FootnoteCharacters"/>
        </w:rPr>
        <w:t>*</w:t>
      </w:r>
      <w:r>
        <w:rPr/>
        <w:t xml:space="preserve"> </w:t>
      </w:r>
      <w:r>
        <w:rPr/>
        <w:t>This background paper was prepared by Tim Koller of McKinsey &amp; Company as a basis for the Task Force’s discussion.</w:t>
      </w:r>
    </w:p>
  </w:footnote>
  <w:footnote w:id="11">
    <w:p>
      <w:pPr>
        <w:pStyle w:val="FootnoteText"/>
        <w:rPr/>
      </w:pPr>
      <w:r>
        <w:rPr>
          <w:rStyle w:val="FootnoteCharacters"/>
        </w:rPr>
        <w:footnoteRef/>
      </w:r>
      <w:r>
        <w:rPr/>
        <w:t xml:space="preserve"> </w:t>
      </w:r>
      <w:r>
        <w:rPr/>
        <w:t>Throughout this document we use the term</w:t>
      </w:r>
      <w:r>
        <w:rPr>
          <w:i/>
          <w:iCs/>
        </w:rPr>
        <w:t xml:space="preserve"> intangible asset</w:t>
      </w:r>
      <w:r>
        <w:rPr/>
        <w:t xml:space="preserve"> to refer broadly to any intangible that helps generate future cash flows.   The accounting profession would only recognize assets that can be controlled by a company.  According to the narrower definition, a patent would be an intangible asset, but the employee who developed the asset would not be an asset because he is not controlled by the company.</w:t>
      </w:r>
    </w:p>
  </w:footnote>
  <w:footnote w:id="12">
    <w:p>
      <w:pPr>
        <w:pStyle w:val="FootnoteText"/>
        <w:rPr/>
      </w:pPr>
      <w:r>
        <w:rPr>
          <w:rStyle w:val="FootnoteCharacters"/>
        </w:rPr>
        <w:footnoteRef/>
      </w:r>
      <w:r>
        <w:rPr/>
        <w:t xml:space="preserve"> </w:t>
      </w:r>
      <w:r>
        <w:rPr/>
        <w:t xml:space="preserve">Baruch Lev:  </w:t>
      </w:r>
      <w:r>
        <w:rPr>
          <w:i/>
        </w:rPr>
        <w:t>Intangibles:  Management, Measurement and Reporting</w:t>
      </w:r>
      <w:r>
        <w:rPr/>
        <w:t>, Working Paper, October 2000.</w:t>
      </w:r>
    </w:p>
  </w:footnote>
  <w:footnote w:id="13">
    <w:p>
      <w:pPr>
        <w:pStyle w:val="FootnoteText"/>
        <w:rPr/>
      </w:pPr>
      <w:r>
        <w:rPr>
          <w:rStyle w:val="FootnoteCharacters"/>
        </w:rPr>
        <w:footnoteRef/>
      </w:r>
      <w:r>
        <w:rPr/>
        <w:t xml:space="preserve"> </w:t>
      </w:r>
      <w:r>
        <w:rPr/>
        <w:t>There are exceptions to these rules, see Accounting Principles Board Opinion 17 – Intangible Assets, 1970.</w:t>
      </w:r>
    </w:p>
    <w:p>
      <w:pPr>
        <w:pStyle w:val="FootnoteText"/>
        <w:rPr/>
      </w:pPr>
      <w:r>
        <w:rPr/>
      </w:r>
    </w:p>
  </w:footnote>
  <w:footnote w:id="14">
    <w:p>
      <w:pPr>
        <w:pStyle w:val="FootnoteText"/>
        <w:rPr/>
      </w:pPr>
      <w:r>
        <w:rPr>
          <w:rStyle w:val="FootnoteCharacters"/>
        </w:rPr>
        <w:footnoteRef/>
      </w:r>
      <w:r>
        <w:rPr/>
        <w:t xml:space="preserve"> </w:t>
      </w:r>
      <w:r>
        <w:rPr/>
        <w:t>Some assets, such as marketable securities and financial instruments, are recorded at market value.</w:t>
      </w:r>
    </w:p>
  </w:footnote>
  <w:footnote w:id="15">
    <w:p>
      <w:pPr>
        <w:pStyle w:val="FootnoteText"/>
        <w:rPr/>
      </w:pPr>
      <w:r>
        <w:rPr>
          <w:rStyle w:val="FootnoteCharacters"/>
        </w:rPr>
        <w:footnoteRef/>
      </w:r>
      <w:r>
        <w:rPr/>
        <w:t xml:space="preserve"> </w:t>
      </w:r>
      <w:r>
        <w:rPr/>
        <w:t>If, however, it is clear that the market value of the assets are less than cost (less accumulated depreciation or amortization), the company is required to write down the value of the assets to market value.  In some countries, assets are routinely revalued to reflect market value.</w:t>
      </w:r>
    </w:p>
  </w:footnote>
  <w:footnote w:id="16">
    <w:p>
      <w:pPr>
        <w:pStyle w:val="FootnoteText"/>
        <w:rPr/>
      </w:pPr>
      <w:r>
        <w:rPr>
          <w:rStyle w:val="FootnoteCharacters"/>
        </w:rPr>
        <w:footnoteRef/>
      </w:r>
      <w:r>
        <w:rPr/>
        <w:t xml:space="preserve"> </w:t>
      </w:r>
      <w:r>
        <w:rPr/>
        <w:t xml:space="preserve">See </w:t>
      </w:r>
      <w:r>
        <w:rPr>
          <w:i/>
          <w:iCs/>
        </w:rPr>
        <w:t>Improving Business Reporting:  Insights into Enhancing Voluntary Disclosures</w:t>
      </w:r>
      <w:r>
        <w:rPr/>
        <w:t>, Steering Committee Report of the Business Reporting Research Project, 2001. Available on the FASB web site at www.fasb.org.</w:t>
      </w:r>
    </w:p>
  </w:footnote>
  <w:footnote w:id="17">
    <w:p>
      <w:pPr>
        <w:pStyle w:val="FootnoteText"/>
        <w:rPr/>
      </w:pPr>
      <w:r>
        <w:rPr>
          <w:rStyle w:val="FootnoteCharacters"/>
        </w:rPr>
        <w:footnoteRef/>
      </w:r>
      <w:r>
        <w:rPr/>
        <w:t xml:space="preserve"> </w:t>
      </w:r>
      <w:r>
        <w:rPr/>
        <w:t xml:space="preserve">Baruch Lev: </w:t>
      </w:r>
      <w:r>
        <w:rPr>
          <w:i/>
        </w:rPr>
        <w:t>Intangibles:  Management, Measurement and Reporting</w:t>
      </w:r>
      <w:r>
        <w:rPr/>
        <w:t>, Working Paper, October 2000.</w:t>
      </w:r>
    </w:p>
  </w:footnote>
  <w:footnote w:id="18">
    <w:p>
      <w:pPr>
        <w:pStyle w:val="FootnoteText"/>
        <w:rPr/>
      </w:pPr>
      <w:r>
        <w:rPr>
          <w:rStyle w:val="FootnoteCharacters"/>
        </w:rPr>
        <w:t>*</w:t>
      </w:r>
      <w:r>
        <w:rPr/>
        <w:t xml:space="preserve"> </w:t>
      </w:r>
      <w:r>
        <w:rPr/>
        <w:t>This summary was prepared by Boris Shurslep of McKinsey and Company.</w:t>
      </w:r>
    </w:p>
  </w:footnote>
  <w:footnote w:id="19">
    <w:p>
      <w:pPr>
        <w:pStyle w:val="FootnoteText"/>
        <w:rPr/>
      </w:pPr>
      <w:r>
        <w:rPr>
          <w:rStyle w:val="FootnoteCharacters"/>
        </w:rPr>
        <w:footnoteRef/>
      </w:r>
      <w:r>
        <w:rPr/>
        <w:t xml:space="preserve"> </w:t>
      </w:r>
      <w:r>
        <w:rPr/>
        <w:t>Tamara Loomis,</w:t>
      </w:r>
      <w:r>
        <w:rPr>
          <w:i/>
        </w:rPr>
        <w:t xml:space="preserve"> Securities Reform: What Went Wrong?</w:t>
      </w:r>
      <w:r>
        <w:rPr/>
        <w:t xml:space="preserve"> New York Law Journal, October 27, 2000.</w:t>
      </w:r>
    </w:p>
  </w:footnote>
  <w:footnote w:id="20">
    <w:p>
      <w:pPr>
        <w:pStyle w:val="FootnoteText"/>
        <w:rPr/>
      </w:pPr>
      <w:r>
        <w:rPr>
          <w:rStyle w:val="FootnoteCharacters"/>
        </w:rPr>
        <w:footnoteRef/>
      </w:r>
      <w:r>
        <w:rPr/>
        <w:t xml:space="preserve"> </w:t>
      </w:r>
      <w:r>
        <w:rPr>
          <w:i/>
        </w:rPr>
        <w:t>Trends in Securities Litigation and the Impact of PSLRA,</w:t>
      </w:r>
      <w:r>
        <w:rPr/>
        <w:t xml:space="preserve"> National Economic Research Associates;</w:t>
      </w:r>
      <w:r>
        <w:rPr>
          <w:i/>
        </w:rPr>
        <w:t>.</w:t>
      </w:r>
      <w:r>
        <w:rPr/>
        <w:t xml:space="preserve">  Actual 1999 number of suits is 238.</w:t>
      </w:r>
    </w:p>
  </w:footnote>
  <w:footnote w:id="21">
    <w:p>
      <w:pPr>
        <w:pStyle w:val="FootnoteText"/>
        <w:rPr/>
      </w:pPr>
      <w:r>
        <w:rPr>
          <w:rStyle w:val="FootnoteCharacters"/>
        </w:rPr>
        <w:footnoteRef/>
      </w:r>
      <w:r>
        <w:rPr/>
        <w:t xml:space="preserve"> </w:t>
      </w:r>
      <w:r>
        <w:rPr/>
        <w:t>Tamara Loomis,</w:t>
      </w:r>
      <w:r>
        <w:rPr>
          <w:i/>
        </w:rPr>
        <w:t xml:space="preserve"> Securities Reform: What Went Wrong?</w:t>
      </w:r>
      <w:r>
        <w:rPr/>
        <w:t xml:space="preserve"> New York Law Journal, October 27, 2000.</w:t>
      </w:r>
    </w:p>
  </w:footnote>
  <w:footnote w:id="22">
    <w:p>
      <w:pPr>
        <w:pStyle w:val="FootnoteText"/>
        <w:rPr/>
      </w:pPr>
      <w:r>
        <w:rPr>
          <w:rStyle w:val="FootnoteCharacters"/>
        </w:rPr>
        <w:footnoteRef/>
      </w:r>
      <w:r>
        <w:rPr/>
        <w:t xml:space="preserve"> </w:t>
      </w:r>
      <w:r>
        <w:rPr>
          <w:i/>
        </w:rPr>
        <w:t>Trends in Securities Litigation and the Impact of PSLRA,</w:t>
      </w:r>
      <w:r>
        <w:rPr/>
        <w:t xml:space="preserve"> National Economic Research Associates;</w:t>
      </w:r>
      <w:r>
        <w:rPr>
          <w:i/>
        </w:rPr>
        <w:t>.</w:t>
      </w:r>
    </w:p>
  </w:footnote>
  <w:footnote w:id="23">
    <w:p>
      <w:pPr>
        <w:pStyle w:val="FootnoteText"/>
        <w:rPr/>
      </w:pPr>
      <w:r>
        <w:rPr>
          <w:rStyle w:val="FootnoteCharacters"/>
        </w:rPr>
        <w:footnoteRef/>
      </w:r>
      <w:r>
        <w:rPr/>
        <w:t xml:space="preserve"> </w:t>
      </w:r>
      <w:r>
        <w:rPr>
          <w:i/>
        </w:rPr>
        <w:t>IBID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rPr/>
    </w:pPr>
    <w:r>
      <w:rPr/>
    </w:r>
    <w:r>
      <mc:AlternateContent>
        <mc:Choice Requires="wps">
          <w:drawing>
            <wp:anchor behindDoc="0" distT="0" distB="0" distL="0" distR="0" simplePos="0" locked="0" layoutInCell="0" allowOverlap="1" relativeHeight="3">
              <wp:simplePos x="0" y="0"/>
              <wp:positionH relativeFrom="page">
                <wp:posOffset>3429635</wp:posOffset>
              </wp:positionH>
              <wp:positionV relativeFrom="page">
                <wp:posOffset>457835</wp:posOffset>
              </wp:positionV>
              <wp:extent cx="3657600" cy="20955"/>
              <wp:effectExtent l="0" t="0" r="0" b="0"/>
              <wp:wrapSquare wrapText="bothSides"/>
              <wp:docPr id="1" name="Frame2"/>
              <a:graphic xmlns:a="http://schemas.openxmlformats.org/drawingml/2006/main">
                <a:graphicData uri="http://schemas.microsoft.com/office/word/2010/wordprocessingShape">
                  <wps:wsp>
                    <wps:cNvSpPr txBox="1"/>
                    <wps:spPr>
                      <a:xfrm>
                        <a:off x="0" y="0"/>
                        <a:ext cx="3657600" cy="20955"/>
                      </a:xfrm>
                      <a:prstGeom prst="rect"/>
                      <a:solidFill>
                        <a:srgbClr val="FFFFFF">
                          <a:alpha val="0"/>
                        </a:srgbClr>
                      </a:solidFill>
                    </wps:spPr>
                    <wps:txbx>
                      <w:txbxContent>
                        <w:p>
                          <w:pPr>
                            <w:pStyle w:val="DocumentID-TRT"/>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/mnt/main-storage/datasets/enron-docs/doc/SEC_Task_Force_Draft_04092001.doc</w:t>
                          </w:r>
                          <w:r>
                            <w:rPr/>
                            <w:fldChar w:fldCharType="end"/>
                          </w:r>
                        </w:p>
                      </w:txbxContent>
                    </wps:txbx>
                    <wps:bodyPr anchor="t" lIns="0" tIns="0" rIns="0" bIns="0">
                      <a:noAutofit/>
                    </wps:bodyPr>
                  </wps:wsp>
                </a:graphicData>
              </a:graphic>
            </wp:anchor>
          </w:drawing>
        </mc:Choice>
        <mc:Fallback>
          <w:pict>
            <v:rect fillcolor="#FFFFFF" style="position:absolute;rotation:-0;width:288pt;height:1.65pt;mso-wrap-distance-left:0pt;mso-wrap-distance-right:0pt;mso-wrap-distance-top:0pt;mso-wrap-distance-bottom:0pt;margin-top:36.05pt;mso-position-vertical-relative:page;margin-left:270.05pt;mso-position-horizontal-relative:page">
              <v:fill opacity="0f"/>
              <v:textbox inset="0in,0in,0in,0in">
                <w:txbxContent>
                  <w:p>
                    <w:pPr>
                      <w:pStyle w:val="DocumentID-TRT"/>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/mnt/main-storage/datasets/enron-docs/doc/SEC_Task_Force_Draft_04092001.doc</w:t>
                    </w:r>
                    <w: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
        </w:tabs>
        <w:ind w:start="605" w:hanging="317"/>
      </w:pPr>
      <w:rPr>
        <w:rFonts w:ascii="Wingdings" w:hAnsi="Wingdings" w:cs="Wingdings" w:hint="default"/>
      </w:rPr>
    </w:lvl>
  </w:abstractNum>
  <w:abstractNum w:abstractNumId="5">
    <w:lvl w:ilvl="0">
      <w:start w:val="1"/>
      <w:numFmt w:val="bullet"/>
      <w:lvlText w:val="¶"/>
      <w:lvlJc w:val="start"/>
      <w:pPr>
        <w:tabs>
          <w:tab w:val="num" w:pos="1051"/>
        </w:tabs>
        <w:ind w:start="979" w:hanging="288"/>
      </w:pPr>
      <w:rPr>
        <w:rFonts w:ascii="Times New Roman" w:hAnsi="Times New Roman" w:cs="Times New Roman" w:hint="default"/>
      </w:rPr>
    </w:lvl>
  </w:abstractNum>
  <w:abstractNum w:abstractNumId="6">
    <w:lvl w:ilvl="0">
      <w:start w:val="1"/>
      <w:numFmt w:val="bullet"/>
      <w:lvlText w:val="–"/>
      <w:lvlJc w:val="start"/>
      <w:pPr>
        <w:tabs>
          <w:tab w:val="num" w:pos="648"/>
        </w:tabs>
        <w:ind w:start="605" w:hanging="317"/>
      </w:pPr>
      <w:rPr>
        <w:rFonts w:ascii="Palatino" w:hAnsi="Palatino" w:cs="Palatino" w:hint="default"/>
      </w:rPr>
    </w:lvl>
  </w:abstractNum>
  <w:abstractNum w:abstractNumId="7">
    <w:lvl w:ilvl="0">
      <w:start w:val="1"/>
      <w:numFmt w:val="bullet"/>
      <w:lvlText w:val="–"/>
      <w:lvlJc w:val="start"/>
      <w:pPr>
        <w:tabs>
          <w:tab w:val="num" w:pos="965"/>
        </w:tabs>
        <w:ind w:start="936" w:hanging="331"/>
      </w:pPr>
      <w:rPr>
        <w:rFonts w:ascii="Palatino" w:hAnsi="Palatino" w:cs="Palatino" w:hint="default"/>
      </w:rPr>
    </w:lvl>
  </w:abstractNum>
  <w:abstractNum w:abstractNumId="8">
    <w:lvl w:ilvl="0">
      <w:start w:val="1"/>
      <w:numFmt w:val="bullet"/>
      <w:lvlText w:val="."/>
      <w:lvlJc w:val="start"/>
      <w:pPr>
        <w:tabs>
          <w:tab w:val="num" w:pos="1973"/>
        </w:tabs>
        <w:ind w:start="1872" w:hanging="259"/>
      </w:pPr>
      <w:rPr>
        <w:rFonts w:ascii="Palatino" w:hAnsi="Palatino" w:cs="Palatino" w:hint="default"/>
      </w:rPr>
    </w:lvl>
  </w:abstractNum>
  <w:abstractNum w:abstractNumId="9">
    <w:lvl w:ilvl="0">
      <w:start w:val="1"/>
      <w:numFmt w:val="bullet"/>
      <w:lvlText w:val="–"/>
      <w:lvlJc w:val="start"/>
      <w:pPr>
        <w:tabs>
          <w:tab w:val="num" w:pos="648"/>
        </w:tabs>
        <w:ind w:start="605" w:hanging="317"/>
      </w:pPr>
      <w:rPr>
        <w:rFonts w:ascii="Palatino" w:hAnsi="Palatino" w:cs="Palatino" w:hint="default"/>
      </w:rPr>
    </w:lvl>
  </w:abstractNum>
  <w:abstractNum w:abstractNumId="10">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11">
    <w:lvl w:ilvl="0">
      <w:start w:val="1"/>
      <w:numFmt w:val="bullet"/>
      <w:lvlText w:val=""/>
      <w:lvlJc w:val="start"/>
      <w:pPr>
        <w:tabs>
          <w:tab w:val="num" w:pos="360"/>
        </w:tabs>
        <w:ind w:start="288" w:hanging="288"/>
      </w:pPr>
      <w:rPr>
        <w:rFonts w:ascii="Wingdings" w:hAnsi="Wingdings" w:cs="Wingdings" w:hint="default"/>
      </w:rPr>
    </w:lvl>
  </w:abstractNum>
  <w:abstractNum w:abstractNumId="12">
    <w:lvl w:ilvl="0">
      <w:start w:val="1"/>
      <w:numFmt w:val="bullet"/>
      <w:lvlText w:val="."/>
      <w:lvlJc w:val="start"/>
      <w:pPr>
        <w:tabs>
          <w:tab w:val="num" w:pos="965"/>
        </w:tabs>
        <w:ind w:start="936" w:hanging="331"/>
      </w:pPr>
      <w:rPr>
        <w:rFonts w:ascii="Palatino" w:hAnsi="Palatino" w:cs="Palatino" w:hint="default"/>
      </w:rPr>
    </w:lvl>
  </w:abstractNum>
  <w:abstractNum w:abstractNumId="13">
    <w:lvl w:ilvl="0">
      <w:start w:val="1"/>
      <w:numFmt w:val="bullet"/>
      <w:lvlText w:val="."/>
      <w:lvlJc w:val="start"/>
      <w:pPr>
        <w:tabs>
          <w:tab w:val="num" w:pos="965"/>
        </w:tabs>
        <w:ind w:start="936" w:hanging="331"/>
      </w:pPr>
      <w:rPr>
        <w:rFonts w:ascii="Palatino" w:hAnsi="Palatino" w:cs="Palatino" w:hint="default"/>
      </w:rPr>
    </w:lvl>
  </w:abstractNum>
  <w:abstractNum w:abstractNumId="14">
    <w:lvl w:ilvl="0">
      <w:start w:val="1"/>
      <w:numFmt w:val="bullet"/>
      <w:lvlText w:val=""/>
      <w:lvlJc w:val="start"/>
      <w:pPr>
        <w:tabs>
          <w:tab w:val="num" w:pos="1339"/>
        </w:tabs>
        <w:ind w:start="1296" w:hanging="317"/>
      </w:pPr>
      <w:rPr>
        <w:rFonts w:ascii="Wingdings" w:hAnsi="Wingdings" w:cs="Wingdings" w:hint="default"/>
      </w:rPr>
    </w:lvl>
  </w:abstractNum>
  <w:abstractNum w:abstractNumId="15">
    <w:lvl w:ilvl="0">
      <w:start w:val="1"/>
      <w:numFmt w:val="bullet"/>
      <w:lvlText w:val="–"/>
      <w:lvlJc w:val="start"/>
      <w:pPr>
        <w:tabs>
          <w:tab w:val="num" w:pos="1656"/>
        </w:tabs>
        <w:ind w:start="1613" w:hanging="317"/>
      </w:pPr>
      <w:rPr>
        <w:rFonts w:ascii="Palatino" w:hAnsi="Palatino" w:cs="Palatino" w:hint="default"/>
      </w:rPr>
    </w:lvl>
  </w:abstractNum>
  <w:abstractNum w:abstractNumId="16">
    <w:lvl w:ilvl="0">
      <w:numFmt w:val="bullet"/>
      <w:lvlText w:val="."/>
      <w:lvlJc w:val="start"/>
      <w:pPr>
        <w:tabs>
          <w:tab w:val="num" w:pos="259"/>
        </w:tabs>
        <w:ind w:start="1195" w:hanging="259"/>
      </w:pPr>
      <w:rPr>
        <w:rFonts w:ascii="Palatino" w:hAnsi="Palatino" w:cs="Palatino" w:hint="default"/>
      </w:rPr>
    </w:lvl>
  </w:abstractNum>
  <w:abstractNum w:abstractNumId="17">
    <w:lvl w:ilvl="0">
      <w:numFmt w:val="bullet"/>
      <w:lvlText w:val="¶"/>
      <w:lvlJc w:val="start"/>
      <w:pPr>
        <w:ind w:start="288" w:hanging="288"/>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bIsUpper" w:val="0"/>
    <w:docVar w:name="bNewDocIDFormat" w:val="-1"/>
    <w:docVar w:name="DocIDStyle" w:val="DocumentID-TR"/>
    <w:docVar w:name="sPageSize" w:val="1"/>
    <w:docVar w:name="sScope"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80"/>
    </w:pPr>
    <w:rPr>
      <w:rFonts w:ascii="Times New Roman" w:hAnsi="Times New Roman" w:eastAsia="Times New Roman" w:cs="Times New Roman"/>
      <w:color w:val="auto"/>
      <w:sz w:val="26"/>
      <w:szCs w:val="20"/>
      <w:lang w:val="en-US" w:bidi="ar-SA" w:eastAsia="zh-CN"/>
    </w:rPr>
  </w:style>
  <w:style w:type="paragraph" w:styleId="Heading1">
    <w:name w:val="heading 1"/>
    <w:basedOn w:val="32chaptertitle"/>
    <w:next w:val="Normal"/>
    <w:qFormat/>
    <w:pPr>
      <w:numPr>
        <w:ilvl w:val="0"/>
        <w:numId w:val="1"/>
      </w:numPr>
      <w:outlineLvl w:val="0"/>
    </w:pPr>
    <w:rPr/>
  </w:style>
  <w:style w:type="paragraph" w:styleId="Heading2">
    <w:name w:val="heading 2"/>
    <w:basedOn w:val="20major"/>
    <w:next w:val="Normal"/>
    <w:qFormat/>
    <w:pPr>
      <w:numPr>
        <w:ilvl w:val="1"/>
        <w:numId w:val="1"/>
      </w:numPr>
      <w:outlineLvl w:val="1"/>
    </w:pPr>
    <w:rPr/>
  </w:style>
  <w:style w:type="paragraph" w:styleId="Heading3">
    <w:name w:val="heading 3"/>
    <w:basedOn w:val="21minor"/>
    <w:next w:val="Normal"/>
    <w:qFormat/>
    <w:pPr>
      <w:numPr>
        <w:ilvl w:val="2"/>
        <w:numId w:val="1"/>
      </w:numPr>
      <w:outlineLvl w:val="2"/>
    </w:pPr>
    <w:rPr/>
  </w:style>
  <w:style w:type="paragraph" w:styleId="Heading4">
    <w:name w:val="heading 4"/>
    <w:basedOn w:val="Normal"/>
    <w:next w:val="Normal"/>
    <w:qFormat/>
    <w:pPr>
      <w:keepNext w:val="true"/>
      <w:numPr>
        <w:ilvl w:val="3"/>
        <w:numId w:val="1"/>
      </w:numPr>
      <w:spacing w:before="0" w:after="0"/>
      <w:outlineLvl w:val="3"/>
    </w:pPr>
    <w:rPr>
      <w:b/>
      <w:bCs/>
      <w:u w:val="single"/>
    </w:rPr>
  </w:style>
  <w:style w:type="paragraph" w:styleId="Heading5">
    <w:name w:val="heading 5"/>
    <w:basedOn w:val="Normal"/>
    <w:next w:val="Normal"/>
    <w:qFormat/>
    <w:pPr>
      <w:keepNext w:val="true"/>
      <w:numPr>
        <w:ilvl w:val="4"/>
        <w:numId w:val="1"/>
      </w:numPr>
      <w:outlineLvl w:val="4"/>
    </w:pPr>
    <w:rPr>
      <w:sz w:val="48"/>
    </w:rPr>
  </w:style>
  <w:style w:type="paragraph" w:styleId="Heading6">
    <w:name w:val="heading 6"/>
    <w:basedOn w:val="Normal"/>
    <w:next w:val="Normal"/>
    <w:qFormat/>
    <w:pPr>
      <w:keepNext w:val="true"/>
      <w:numPr>
        <w:ilvl w:val="5"/>
        <w:numId w:val="1"/>
      </w:numPr>
      <w:outlineLvl w:val="5"/>
    </w:pPr>
    <w:rPr>
      <w:i/>
      <w:iCs/>
      <w:sz w:val="28"/>
    </w:rPr>
  </w:style>
  <w:style w:type="character" w:styleId="WW8Num2z0">
    <w:name w:val="WW8Num2z0"/>
    <w:qFormat/>
    <w:rPr>
      <w:rFonts w:ascii="Palatino" w:hAnsi="Palatino" w:cs="Palatino"/>
      <w:b w:val="false"/>
      <w:i w:val="false"/>
    </w:rPr>
  </w:style>
  <w:style w:type="character" w:styleId="WW8Num3z0">
    <w:name w:val="WW8Num3z0"/>
    <w:qFormat/>
    <w:rPr>
      <w:rFonts w:ascii="Wingdings" w:hAnsi="Wingdings" w:cs="Wingdings"/>
    </w:rPr>
  </w:style>
  <w:style w:type="character" w:styleId="WW8Num5z0">
    <w:name w:val="WW8Num5z0"/>
    <w:qFormat/>
    <w:rPr>
      <w:rFonts w:ascii="TIMES" w:hAnsi="TIMES" w:cs="TIMES"/>
      <w:b w:val="false"/>
      <w:i w:val="false"/>
      <w:sz w:val="24"/>
    </w:rPr>
  </w:style>
  <w:style w:type="character" w:styleId="WW8Num7z0">
    <w:name w:val="WW8Num7z0"/>
    <w:qFormat/>
    <w:rPr>
      <w:rFonts w:ascii="Wingdings" w:hAnsi="Wingdings" w:cs="Wingdings"/>
    </w:rPr>
  </w:style>
  <w:style w:type="character" w:styleId="WW8Num8z0">
    <w:name w:val="WW8Num8z0"/>
    <w:qFormat/>
    <w:rPr>
      <w:rFonts w:ascii="Times New Roman" w:hAnsi="Times New Roman" w:cs="Times New Roman"/>
    </w:rPr>
  </w:style>
  <w:style w:type="character" w:styleId="WW8Num9z0">
    <w:name w:val="WW8Num9z0"/>
    <w:qFormat/>
    <w:rPr>
      <w:rFonts w:ascii="Times New Roman" w:hAnsi="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Palatino" w:hAnsi="Palatino" w:cs="Palatino"/>
    </w:rPr>
  </w:style>
  <w:style w:type="character" w:styleId="WW8Num12z0">
    <w:name w:val="WW8Num12z0"/>
    <w:qFormat/>
    <w:rPr>
      <w:rFonts w:ascii="TIMES" w:hAnsi="TIMES" w:cs="TIMES"/>
      <w:b w:val="false"/>
      <w:i w:val="false"/>
      <w:sz w:val="24"/>
    </w:rPr>
  </w:style>
  <w:style w:type="character" w:styleId="WW8Num13z0">
    <w:name w:val="WW8Num13z0"/>
    <w:qFormat/>
    <w:rPr>
      <w:rFonts w:ascii="TIMES" w:hAnsi="TIMES" w:cs="TIMES"/>
      <w:b w:val="false"/>
      <w:i w:val="false"/>
      <w:sz w:val="24"/>
    </w:rPr>
  </w:style>
  <w:style w:type="character" w:styleId="WW8Num14z0">
    <w:name w:val="WW8Num14z0"/>
    <w:qFormat/>
    <w:rPr>
      <w:rFonts w:ascii="TIMES" w:hAnsi="TIMES" w:cs="TIMES"/>
      <w:b w:val="false"/>
      <w:i w:val="false"/>
      <w:sz w:val="24"/>
    </w:rPr>
  </w:style>
  <w:style w:type="character" w:styleId="WW8Num15z0">
    <w:name w:val="WW8Num15z0"/>
    <w:qFormat/>
    <w:rPr>
      <w:rFonts w:ascii="TIMES" w:hAnsi="TIMES" w:cs="TIMES"/>
      <w:b w:val="false"/>
      <w:i w:val="false"/>
      <w:sz w:val="24"/>
    </w:rPr>
  </w:style>
  <w:style w:type="character" w:styleId="WW8Num16z0">
    <w:name w:val="WW8Num16z0"/>
    <w:qFormat/>
    <w:rPr>
      <w:rFonts w:ascii="TIMES" w:hAnsi="TIMES" w:cs="TIMES"/>
      <w:b w:val="false"/>
      <w:i w:val="false"/>
      <w:sz w:val="24"/>
    </w:rPr>
  </w:style>
  <w:style w:type="character" w:styleId="WW8Num17z0">
    <w:name w:val="WW8Num17z0"/>
    <w:qFormat/>
    <w:rPr/>
  </w:style>
  <w:style w:type="character" w:styleId="WW8Num19z0">
    <w:name w:val="WW8Num19z0"/>
    <w:qFormat/>
    <w:rPr>
      <w:rFonts w:ascii="TIMES" w:hAnsi="TIMES" w:cs="TIMES"/>
      <w:b w:val="false"/>
      <w:i w:val="false"/>
      <w:sz w:val="24"/>
    </w:rPr>
  </w:style>
  <w:style w:type="character" w:styleId="WW8Num20z0">
    <w:name w:val="WW8Num20z0"/>
    <w:qFormat/>
    <w:rPr>
      <w:rFonts w:ascii="TIMES" w:hAnsi="TIMES" w:cs="TIMES"/>
      <w:b w:val="false"/>
      <w:i w:val="false"/>
      <w:sz w:val="24"/>
    </w:rPr>
  </w:style>
  <w:style w:type="character" w:styleId="WW8Num21z0">
    <w:name w:val="WW8Num21z0"/>
    <w:qFormat/>
    <w:rPr>
      <w:rFonts w:ascii="TIMES" w:hAnsi="TIMES" w:cs="TIMES"/>
      <w:b w:val="false"/>
      <w:i w:val="false"/>
      <w:sz w:val="24"/>
    </w:rPr>
  </w:style>
  <w:style w:type="character" w:styleId="WW8Num22z0">
    <w:name w:val="WW8Num22z0"/>
    <w:qFormat/>
    <w:rPr>
      <w:rFonts w:ascii="Wingdings" w:hAnsi="Wingdings" w:cs="Wingdings"/>
    </w:rPr>
  </w:style>
  <w:style w:type="character" w:styleId="WW8Num23z0">
    <w:name w:val="WW8Num23z0"/>
    <w:qFormat/>
    <w:rPr>
      <w:rFonts w:ascii="Times New Roman" w:hAnsi="Times New Roman" w:cs="Times New Roman"/>
    </w:rPr>
  </w:style>
  <w:style w:type="character" w:styleId="WW8Num24z0">
    <w:name w:val="WW8Num24z0"/>
    <w:qFormat/>
    <w:rPr>
      <w:rFonts w:ascii="Times New Roman" w:hAnsi="Times New Roman" w:cs="Times New Roman"/>
    </w:rPr>
  </w:style>
  <w:style w:type="character" w:styleId="WW8Num25z0">
    <w:name w:val="WW8Num25z0"/>
    <w:qFormat/>
    <w:rPr>
      <w:rFonts w:ascii="Wingdings" w:hAnsi="Wingdings" w:cs="Wingdings"/>
    </w:rPr>
  </w:style>
  <w:style w:type="character" w:styleId="WW8Num27z0">
    <w:name w:val="WW8Num27z0"/>
    <w:qFormat/>
    <w:rPr>
      <w:rFonts w:ascii="Palatino" w:hAnsi="Palatino" w:cs="Palatino"/>
    </w:rPr>
  </w:style>
  <w:style w:type="character" w:styleId="WW8Num28z0">
    <w:name w:val="WW8Num28z0"/>
    <w:qFormat/>
    <w:rPr>
      <w:rFonts w:ascii="TIMES" w:hAnsi="TIMES" w:cs="TIMES"/>
      <w:b w:val="false"/>
      <w:i w:val="false"/>
      <w:sz w:val="24"/>
    </w:rPr>
  </w:style>
  <w:style w:type="character" w:styleId="WW8Num29z0">
    <w:name w:val="WW8Num29z0"/>
    <w:qFormat/>
    <w:rPr>
      <w:rFonts w:ascii="TIMES" w:hAnsi="TIMES" w:cs="TIMES"/>
      <w:b w:val="false"/>
      <w:i w:val="false"/>
      <w:sz w:val="24"/>
    </w:rPr>
  </w:style>
  <w:style w:type="character" w:styleId="WW8Num30z0">
    <w:name w:val="WW8Num30z0"/>
    <w:qFormat/>
    <w:rPr>
      <w:rFonts w:ascii="TIMES" w:hAnsi="TIMES" w:cs="TIMES"/>
      <w:b w:val="false"/>
      <w:i w:val="false"/>
      <w:sz w:val="24"/>
    </w:rPr>
  </w:style>
  <w:style w:type="character" w:styleId="WW8Num31z0">
    <w:name w:val="WW8Num31z0"/>
    <w:qFormat/>
    <w:rPr>
      <w:rFonts w:ascii="TIMES" w:hAnsi="TIMES" w:cs="TIMES"/>
      <w:b w:val="false"/>
      <w:i w:val="false"/>
      <w:sz w:val="24"/>
    </w:rPr>
  </w:style>
  <w:style w:type="character" w:styleId="WW8Num32z0">
    <w:name w:val="WW8Num32z0"/>
    <w:qFormat/>
    <w:rPr>
      <w:rFonts w:ascii="Palatino" w:hAnsi="Palatino" w:cs="Palatino"/>
    </w:rPr>
  </w:style>
  <w:style w:type="character" w:styleId="WW8Num33z0">
    <w:name w:val="WW8Num33z0"/>
    <w:qFormat/>
    <w:rPr>
      <w:rFonts w:ascii="TIMES" w:hAnsi="TIMES" w:cs="TIMES"/>
      <w:b w:val="false"/>
      <w:i w:val="false"/>
      <w:sz w:val="24"/>
    </w:rPr>
  </w:style>
  <w:style w:type="character" w:styleId="WW8Num34z0">
    <w:name w:val="WW8Num34z0"/>
    <w:qFormat/>
    <w:rPr>
      <w:rFonts w:ascii="Palatino" w:hAnsi="Palatino" w:cs="Palatino"/>
    </w:rPr>
  </w:style>
  <w:style w:type="character" w:styleId="WW8Num36z0">
    <w:name w:val="WW8Num36z0"/>
    <w:qFormat/>
    <w:rPr>
      <w:rFonts w:ascii="TIMES" w:hAnsi="TIMES" w:cs="TIMES"/>
      <w:b w:val="false"/>
      <w:i w:val="false"/>
      <w:sz w:val="24"/>
    </w:rPr>
  </w:style>
  <w:style w:type="character" w:styleId="WW8Num39z0">
    <w:name w:val="WW8Num39z0"/>
    <w:qFormat/>
    <w:rPr>
      <w:rFonts w:ascii="Palatino" w:hAnsi="Palatino" w:cs="Palatino"/>
    </w:rPr>
  </w:style>
  <w:style w:type="character" w:styleId="WW8Num40z0">
    <w:name w:val="WW8Num40z0"/>
    <w:qFormat/>
    <w:rPr>
      <w:rFonts w:ascii="TIMES" w:hAnsi="TIMES" w:cs="TIMES"/>
      <w:b w:val="false"/>
      <w:i w:val="false"/>
      <w:sz w:val="24"/>
    </w:rPr>
  </w:style>
  <w:style w:type="character" w:styleId="WW8Num42z0">
    <w:name w:val="WW8Num42z0"/>
    <w:qFormat/>
    <w:rPr>
      <w:rFonts w:ascii="TIMES" w:hAnsi="TIMES" w:cs="TIMES"/>
      <w:b w:val="false"/>
      <w:i w:val="false"/>
      <w:sz w:val="24"/>
    </w:rPr>
  </w:style>
  <w:style w:type="character" w:styleId="WW8Num44z0">
    <w:name w:val="WW8Num44z0"/>
    <w:qFormat/>
    <w:rPr>
      <w:rFonts w:ascii="TIMES" w:hAnsi="TIMES" w:cs="TIMES"/>
      <w:b w:val="false"/>
      <w:i w:val="false"/>
      <w:sz w:val="24"/>
    </w:rPr>
  </w:style>
  <w:style w:type="character" w:styleId="WW8Num45z0">
    <w:name w:val="WW8Num45z0"/>
    <w:qFormat/>
    <w:rPr>
      <w:rFonts w:ascii="TIMES" w:hAnsi="TIMES" w:cs="TIMES"/>
      <w:b w:val="false"/>
      <w:i w:val="false"/>
      <w:sz w:val="24"/>
    </w:rPr>
  </w:style>
  <w:style w:type="character" w:styleId="WW8Num47z0">
    <w:name w:val="WW8Num47z0"/>
    <w:qFormat/>
    <w:rPr>
      <w:rFonts w:ascii="Times New Roman" w:hAnsi="Times New Roman" w:cs="Times New Roman"/>
    </w:rPr>
  </w:style>
  <w:style w:type="character" w:styleId="WW8Num48z0">
    <w:name w:val="WW8Num48z0"/>
    <w:qFormat/>
    <w:rPr>
      <w:rFonts w:ascii="Wingdings" w:hAnsi="Wingdings" w:cs="Wingdings"/>
    </w:rPr>
  </w:style>
  <w:style w:type="character" w:styleId="WW8Num49z0">
    <w:name w:val="WW8Num49z0"/>
    <w:qFormat/>
    <w:rPr>
      <w:rFonts w:ascii="Palatino" w:hAnsi="Palatino" w:cs="Palatino"/>
      <w:b w:val="false"/>
      <w:i w:val="false"/>
    </w:rPr>
  </w:style>
  <w:style w:type="character" w:styleId="WW8Num54z0">
    <w:name w:val="WW8Num54z0"/>
    <w:qFormat/>
    <w:rPr>
      <w:rFonts w:ascii="Wingdings" w:hAnsi="Wingdings" w:cs="Wingdings"/>
    </w:rPr>
  </w:style>
  <w:style w:type="character" w:styleId="WW8Num55z0">
    <w:name w:val="WW8Num55z0"/>
    <w:qFormat/>
    <w:rPr>
      <w:rFonts w:ascii="TIMES" w:hAnsi="TIMES" w:cs="TIMES"/>
      <w:b w:val="false"/>
      <w:i w:val="false"/>
      <w:sz w:val="24"/>
    </w:rPr>
  </w:style>
  <w:style w:type="character" w:styleId="WW8Num56z0">
    <w:name w:val="WW8Num56z0"/>
    <w:qFormat/>
    <w:rPr>
      <w:rFonts w:ascii="TIMES" w:hAnsi="TIMES" w:cs="TIMES"/>
      <w:b w:val="false"/>
      <w:i w:val="false"/>
      <w:sz w:val="24"/>
    </w:rPr>
  </w:style>
  <w:style w:type="character" w:styleId="WW8Num57z0">
    <w:name w:val="WW8Num57z0"/>
    <w:qFormat/>
    <w:rPr>
      <w:rFonts w:ascii="TIMES" w:hAnsi="TIMES" w:cs="TIMES"/>
      <w:b w:val="false"/>
      <w:i w:val="false"/>
      <w:sz w:val="24"/>
    </w:rPr>
  </w:style>
  <w:style w:type="character" w:styleId="WW8Num60z0">
    <w:name w:val="WW8Num60z0"/>
    <w:qFormat/>
    <w:rPr>
      <w:sz w:val="24"/>
    </w:rPr>
  </w:style>
  <w:style w:type="character" w:styleId="WW8Num62z0">
    <w:name w:val="WW8Num62z0"/>
    <w:qFormat/>
    <w:rPr>
      <w:rFonts w:ascii="Palatino" w:hAnsi="Palatino" w:cs="Palatino"/>
    </w:rPr>
  </w:style>
  <w:style w:type="character" w:styleId="WW8Num63z0">
    <w:name w:val="WW8Num63z0"/>
    <w:qFormat/>
    <w:rPr>
      <w:rFonts w:ascii="TIMES" w:hAnsi="TIMES" w:cs="TIMES"/>
      <w:b w:val="false"/>
      <w:i w:val="false"/>
      <w:sz w:val="24"/>
    </w:rPr>
  </w:style>
  <w:style w:type="character" w:styleId="WW8Num64z0">
    <w:name w:val="WW8Num64z0"/>
    <w:qFormat/>
    <w:rPr>
      <w:rFonts w:ascii="Palatino" w:hAnsi="Palatino" w:cs="Palatino"/>
    </w:rPr>
  </w:style>
  <w:style w:type="character" w:styleId="WW8Num65z0">
    <w:name w:val="WW8Num65z0"/>
    <w:qFormat/>
    <w:rPr>
      <w:rFonts w:ascii="Palatino" w:hAnsi="Palatino" w:cs="Palatino"/>
    </w:rPr>
  </w:style>
  <w:style w:type="character" w:styleId="WW8Num68z0">
    <w:name w:val="WW8Num68z0"/>
    <w:qFormat/>
    <w:rPr>
      <w:rFonts w:ascii="TIMES" w:hAnsi="TIMES" w:cs="TIMES"/>
      <w:b w:val="false"/>
      <w:i w:val="false"/>
      <w:sz w:val="24"/>
    </w:rPr>
  </w:style>
  <w:style w:type="character" w:styleId="WW8Num69z0">
    <w:name w:val="WW8Num69z0"/>
    <w:qFormat/>
    <w:rPr>
      <w:rFonts w:ascii="TIMES" w:hAnsi="TIMES" w:cs="TIMES"/>
      <w:b w:val="false"/>
      <w:i w:val="false"/>
      <w:sz w:val="24"/>
    </w:rPr>
  </w:style>
  <w:style w:type="character" w:styleId="WW8Num70z0">
    <w:name w:val="WW8Num70z0"/>
    <w:qFormat/>
    <w:rPr>
      <w:rFonts w:ascii="TIMES" w:hAnsi="TIMES" w:cs="TIMES"/>
      <w:b w:val="false"/>
      <w:i w:val="false"/>
      <w:sz w:val="24"/>
    </w:rPr>
  </w:style>
  <w:style w:type="character" w:styleId="WW8Num71z0">
    <w:name w:val="WW8Num71z0"/>
    <w:qFormat/>
    <w:rPr>
      <w:rFonts w:ascii="TIMES" w:hAnsi="TIMES" w:cs="TIMES"/>
      <w:b w:val="false"/>
      <w:i w:val="false"/>
      <w:sz w:val="24"/>
    </w:rPr>
  </w:style>
  <w:style w:type="character" w:styleId="WW8Num73z0">
    <w:name w:val="WW8Num73z0"/>
    <w:qFormat/>
    <w:rPr>
      <w:rFonts w:ascii="TIMES" w:hAnsi="TIMES" w:cs="TIMES"/>
      <w:b w:val="false"/>
      <w:i w:val="false"/>
      <w:sz w:val="24"/>
    </w:rPr>
  </w:style>
  <w:style w:type="character" w:styleId="WW8Num75z0">
    <w:name w:val="WW8Num75z0"/>
    <w:qFormat/>
    <w:rPr>
      <w:rFonts w:ascii="Times New Roman" w:hAnsi="Times New Roman" w:cs="Times New Roman"/>
      <w:b w:val="false"/>
      <w:i w:val="false"/>
    </w:rPr>
  </w:style>
  <w:style w:type="character" w:styleId="WW8Num76z0">
    <w:name w:val="WW8Num76z0"/>
    <w:qFormat/>
    <w:rPr>
      <w:rFonts w:ascii="TIMES" w:hAnsi="TIMES" w:cs="TIMES"/>
      <w:b w:val="false"/>
      <w:i w:val="false"/>
      <w:sz w:val="24"/>
    </w:rPr>
  </w:style>
  <w:style w:type="character" w:styleId="WW8Num77z0">
    <w:name w:val="WW8Num77z0"/>
    <w:qFormat/>
    <w:rPr>
      <w:rFonts w:ascii="TIMES" w:hAnsi="TIMES" w:cs="TIMES"/>
      <w:b w:val="false"/>
      <w:i w:val="false"/>
      <w:sz w:val="24"/>
    </w:rPr>
  </w:style>
  <w:style w:type="character" w:styleId="WW8Num78z0">
    <w:name w:val="WW8Num78z0"/>
    <w:qFormat/>
    <w:rPr>
      <w:rFonts w:ascii="TIMES" w:hAnsi="TIMES" w:cs="TIMES"/>
      <w:b w:val="false"/>
      <w:i w:val="false"/>
      <w:sz w:val="24"/>
    </w:rPr>
  </w:style>
  <w:style w:type="character" w:styleId="WW8Num79z0">
    <w:name w:val="WW8Num79z0"/>
    <w:qFormat/>
    <w:rPr>
      <w:rFonts w:ascii="TIMES" w:hAnsi="TIMES" w:cs="TIMES"/>
      <w:b w:val="false"/>
      <w:i w:val="false"/>
      <w:sz w:val="24"/>
    </w:rPr>
  </w:style>
  <w:style w:type="character" w:styleId="WW8Num80z0">
    <w:name w:val="WW8Num80z0"/>
    <w:qFormat/>
    <w:rPr>
      <w:rFonts w:ascii="Palatino Linotype" w:hAnsi="Palatino Linotype" w:cs="Palatino Linotype"/>
    </w:rPr>
  </w:style>
  <w:style w:type="character" w:styleId="WW8Num81z0">
    <w:name w:val="WW8Num81z0"/>
    <w:qFormat/>
    <w:rPr>
      <w:rFonts w:ascii="Wingdings" w:hAnsi="Wingdings" w:cs="Wingdings"/>
    </w:rPr>
  </w:style>
  <w:style w:type="character" w:styleId="WW8Num84z0">
    <w:name w:val="WW8Num84z0"/>
    <w:qFormat/>
    <w:rPr>
      <w:rFonts w:ascii="Palatino" w:hAnsi="Palatino" w:cs="Palatino"/>
    </w:rPr>
  </w:style>
  <w:style w:type="character" w:styleId="WW8Num86z0">
    <w:name w:val="WW8Num86z0"/>
    <w:qFormat/>
    <w:rPr>
      <w:rFonts w:ascii="TIMES" w:hAnsi="TIMES" w:cs="TIMES"/>
      <w:b w:val="false"/>
      <w:i w:val="false"/>
      <w:sz w:val="24"/>
    </w:rPr>
  </w:style>
  <w:style w:type="character" w:styleId="WW8Num87z0">
    <w:name w:val="WW8Num87z0"/>
    <w:qFormat/>
    <w:rPr>
      <w:rFonts w:ascii="Times New Roman" w:hAnsi="Times New Roman" w:cs="Times New Roman"/>
      <w:b w:val="false"/>
      <w:i w:val="false"/>
    </w:rPr>
  </w:style>
  <w:style w:type="character" w:styleId="WW8Num89z0">
    <w:name w:val="WW8Num89z0"/>
    <w:qFormat/>
    <w:rPr>
      <w:rFonts w:ascii="Times New Roman" w:hAnsi="Times New Roman" w:cs="Times New Roman"/>
    </w:rPr>
  </w:style>
  <w:style w:type="character" w:styleId="WW8Num90z0">
    <w:name w:val="WW8Num90z0"/>
    <w:qFormat/>
    <w:rPr>
      <w:rFonts w:ascii="TIMES" w:hAnsi="TIMES" w:cs="TIMES"/>
      <w:b w:val="false"/>
      <w:i w:val="false"/>
      <w:sz w:val="24"/>
    </w:rPr>
  </w:style>
  <w:style w:type="character" w:styleId="WW8Num93z0">
    <w:name w:val="WW8Num93z0"/>
    <w:qFormat/>
    <w:rPr>
      <w:rFonts w:ascii="TIMES" w:hAnsi="TIMES" w:cs="TIMES"/>
      <w:b w:val="false"/>
      <w:i w:val="false"/>
      <w:sz w:val="24"/>
    </w:rPr>
  </w:style>
  <w:style w:type="character" w:styleId="WW8Num94z0">
    <w:name w:val="WW8Num94z0"/>
    <w:qFormat/>
    <w:rPr>
      <w:rFonts w:ascii="TIMES" w:hAnsi="TIMES" w:cs="TIMES"/>
      <w:b w:val="false"/>
      <w:i w:val="false"/>
      <w:sz w:val="24"/>
    </w:rPr>
  </w:style>
  <w:style w:type="character" w:styleId="WW8Num96z0">
    <w:name w:val="WW8Num96z0"/>
    <w:qFormat/>
    <w:rPr>
      <w:rFonts w:ascii="TIMES" w:hAnsi="TIMES" w:cs="TIMES"/>
      <w:b w:val="false"/>
      <w:i w:val="false"/>
      <w:sz w:val="24"/>
    </w:rPr>
  </w:style>
  <w:style w:type="character" w:styleId="WW8Num97z0">
    <w:name w:val="WW8Num97z0"/>
    <w:qFormat/>
    <w:rPr>
      <w:rFonts w:ascii="Times New Roman" w:hAnsi="Times New Roman" w:cs="Times New Roman"/>
    </w:rPr>
  </w:style>
  <w:style w:type="character" w:styleId="WW8Num99z0">
    <w:name w:val="WW8Num99z0"/>
    <w:qFormat/>
    <w:rPr>
      <w:rFonts w:ascii="TIMES" w:hAnsi="TIMES" w:cs="TIMES"/>
      <w:b w:val="false"/>
      <w:i w:val="false"/>
      <w:sz w:val="24"/>
    </w:rPr>
  </w:style>
  <w:style w:type="character" w:styleId="WW8Num100z0">
    <w:name w:val="WW8Num100z0"/>
    <w:qFormat/>
    <w:rPr>
      <w:rFonts w:ascii="TIMES" w:hAnsi="TIMES" w:cs="TIMES"/>
      <w:b w:val="false"/>
      <w:i w:val="false"/>
      <w:sz w:val="24"/>
    </w:rPr>
  </w:style>
  <w:style w:type="character" w:styleId="WW8Num101z0">
    <w:name w:val="WW8Num101z0"/>
    <w:qFormat/>
    <w:rPr>
      <w:rFonts w:ascii="TIMES" w:hAnsi="TIMES" w:cs="TIMES"/>
      <w:b w:val="false"/>
      <w:i w:val="false"/>
      <w:sz w:val="24"/>
    </w:rPr>
  </w:style>
  <w:style w:type="character" w:styleId="WW8Num102z0">
    <w:name w:val="WW8Num102z0"/>
    <w:qFormat/>
    <w:rPr>
      <w:rFonts w:ascii="TIMES" w:hAnsi="TIMES" w:cs="TIMES"/>
      <w:b w:val="false"/>
      <w:i w:val="false"/>
      <w:sz w:val="24"/>
    </w:rPr>
  </w:style>
  <w:style w:type="character" w:styleId="WW8Num103z0">
    <w:name w:val="WW8Num103z0"/>
    <w:qFormat/>
    <w:rPr>
      <w:rFonts w:ascii="TIMES" w:hAnsi="TIMES" w:cs="TIMES"/>
      <w:b w:val="false"/>
      <w:i w:val="false"/>
      <w:sz w:val="24"/>
    </w:rPr>
  </w:style>
  <w:style w:type="character" w:styleId="WW8Num105z0">
    <w:name w:val="WW8Num105z0"/>
    <w:qFormat/>
    <w:rPr>
      <w:rFonts w:ascii="Times New Roman" w:hAnsi="Times New Roman" w:cs="Times New Roman"/>
      <w:b w:val="false"/>
      <w:i w:val="false"/>
    </w:rPr>
  </w:style>
  <w:style w:type="character" w:styleId="WW8Num106z0">
    <w:name w:val="WW8Num106z0"/>
    <w:qFormat/>
    <w:rPr>
      <w:rFonts w:ascii="TIMES" w:hAnsi="TIMES" w:cs="TIMES"/>
      <w:b w:val="false"/>
      <w:i w:val="false"/>
      <w:sz w:val="24"/>
    </w:rPr>
  </w:style>
  <w:style w:type="character" w:styleId="WW8Num108z0">
    <w:name w:val="WW8Num108z0"/>
    <w:qFormat/>
    <w:rPr>
      <w:rFonts w:ascii="TIMES" w:hAnsi="TIMES" w:cs="TIMES"/>
      <w:b w:val="false"/>
      <w:i w:val="false"/>
      <w:sz w:val="24"/>
    </w:rPr>
  </w:style>
  <w:style w:type="character" w:styleId="WW8Num111z0">
    <w:name w:val="WW8Num111z0"/>
    <w:qFormat/>
    <w:rPr>
      <w:rFonts w:ascii="TIMES" w:hAnsi="TIMES" w:cs="TIMES"/>
      <w:b w:val="false"/>
      <w:i w:val="false"/>
      <w:sz w:val="24"/>
    </w:rPr>
  </w:style>
  <w:style w:type="character" w:styleId="WW8Num112z0">
    <w:name w:val="WW8Num112z0"/>
    <w:qFormat/>
    <w:rPr>
      <w:rFonts w:ascii="Wingdings" w:hAnsi="Wingdings" w:cs="Wingdings"/>
    </w:rPr>
  </w:style>
  <w:style w:type="character" w:styleId="WW8Num114z0">
    <w:name w:val="WW8Num114z0"/>
    <w:qFormat/>
    <w:rPr>
      <w:rFonts w:ascii="Wingdings" w:hAnsi="Wingdings" w:cs="Wingdings"/>
    </w:rPr>
  </w:style>
  <w:style w:type="character" w:styleId="WW8Num117z0">
    <w:name w:val="WW8Num117z0"/>
    <w:qFormat/>
    <w:rPr>
      <w:rFonts w:ascii="Times New Roman" w:hAnsi="Times New Roman" w:cs="Times New Roman"/>
      <w:b w:val="false"/>
      <w:i w:val="false"/>
    </w:rPr>
  </w:style>
  <w:style w:type="character" w:styleId="WW8NumSt7z0">
    <w:name w:val="WW8NumSt7z0"/>
    <w:qFormat/>
    <w:rPr>
      <w:rFonts w:ascii="TIMES" w:hAnsi="TIMES" w:cs="TIMES"/>
      <w:sz w:val="24"/>
    </w:rPr>
  </w:style>
  <w:style w:type="character" w:styleId="WW8NumSt8z0">
    <w:name w:val="WW8NumSt8z0"/>
    <w:qFormat/>
    <w:rPr>
      <w:rFonts w:ascii="TIMES" w:hAnsi="TIMES" w:cs="TIMES"/>
    </w:rPr>
  </w:style>
  <w:style w:type="character" w:styleId="WW8NumSt9z0">
    <w:name w:val="WW8NumSt9z0"/>
    <w:qFormat/>
    <w:rPr>
      <w:rFonts w:ascii="TIMES" w:hAnsi="TIMES" w:cs="TIMES"/>
    </w:rPr>
  </w:style>
  <w:style w:type="character" w:styleId="WW8NumSt10z0">
    <w:name w:val="WW8NumSt10z0"/>
    <w:qFormat/>
    <w:rPr>
      <w:rFonts w:ascii="TIMES" w:hAnsi="TIMES" w:cs="TIMES"/>
    </w:rPr>
  </w:style>
  <w:style w:type="character" w:styleId="WW8NumSt11z0">
    <w:name w:val="WW8NumSt11z0"/>
    <w:qFormat/>
    <w:rPr>
      <w:rFonts w:ascii="TIMES" w:hAnsi="TIMES" w:cs="TIMES"/>
    </w:rPr>
  </w:style>
  <w:style w:type="character" w:styleId="WW8NumSt41z0">
    <w:name w:val="WW8NumSt41z0"/>
    <w:qFormat/>
    <w:rPr>
      <w:rFonts w:ascii="Palatino" w:hAnsi="Palatino" w:cs="Palatino"/>
    </w:rPr>
  </w:style>
  <w:style w:type="character" w:styleId="WW8NumSt42z0">
    <w:name w:val="WW8NumSt42z0"/>
    <w:qFormat/>
    <w:rPr>
      <w:rFonts w:ascii="Palatino" w:hAnsi="Palatino" w:cs="Palatino"/>
    </w:rPr>
  </w:style>
  <w:style w:type="character" w:styleId="WW8NumSt49z0">
    <w:name w:val="WW8NumSt49z0"/>
    <w:qFormat/>
    <w:rPr>
      <w:rFonts w:ascii="Palatino" w:hAnsi="Palatino" w:cs="Palatino"/>
    </w:rPr>
  </w:style>
  <w:style w:type="character" w:styleId="WW8NumSt52z0">
    <w:name w:val="WW8NumSt52z0"/>
    <w:qFormat/>
    <w:rPr>
      <w:rFonts w:ascii="Palatino" w:hAnsi="Palatino" w:cs="Palatino"/>
    </w:rPr>
  </w:style>
  <w:style w:type="character" w:styleId="WW8NumSt69z0">
    <w:name w:val="WW8NumSt69z0"/>
    <w:qFormat/>
    <w:rPr>
      <w:rFonts w:ascii="Palatino" w:hAnsi="Palatino" w:cs="Palatino"/>
    </w:rPr>
  </w:style>
  <w:style w:type="character" w:styleId="WW8NumSt72z0">
    <w:name w:val="WW8NumSt72z0"/>
    <w:qFormat/>
    <w:rPr>
      <w:rFonts w:ascii="Palatino" w:hAnsi="Palatino" w:cs="Palatino"/>
    </w:rPr>
  </w:style>
  <w:style w:type="character" w:styleId="WW8NumSt73z0">
    <w:name w:val="WW8NumSt73z0"/>
    <w:qFormat/>
    <w:rPr>
      <w:rFonts w:ascii="Palatino" w:hAnsi="Palatino" w:cs="Palatino"/>
    </w:rPr>
  </w:style>
  <w:style w:type="character" w:styleId="WW8NumSt76z0">
    <w:name w:val="WW8NumSt76z0"/>
    <w:qFormat/>
    <w:rPr>
      <w:rFonts w:ascii="Palatino" w:hAnsi="Palatino" w:cs="Palatino"/>
    </w:rPr>
  </w:style>
  <w:style w:type="character" w:styleId="WW8NumSt98z0">
    <w:name w:val="WW8NumSt98z0"/>
    <w:qFormat/>
    <w:rPr>
      <w:rFonts w:ascii="Palatino" w:hAnsi="Palatino" w:cs="Palatino"/>
    </w:rPr>
  </w:style>
  <w:style w:type="character" w:styleId="WW8NumSt101z0">
    <w:name w:val="WW8NumSt101z0"/>
    <w:qFormat/>
    <w:rPr>
      <w:rFonts w:ascii="Palatino" w:hAnsi="Palatino" w:cs="Palatino"/>
    </w:rPr>
  </w:style>
  <w:style w:type="character" w:styleId="WW8NumSt114z0">
    <w:name w:val="WW8NumSt114z0"/>
    <w:qFormat/>
    <w:rPr>
      <w:rFonts w:ascii="Palatino Linotype" w:hAnsi="Palatino Linotype" w:cs="Palatino Linotype"/>
    </w:rPr>
  </w:style>
  <w:style w:type="character" w:styleId="WW8NumSt114z1">
    <w:name w:val="WW8NumSt114z1"/>
    <w:qFormat/>
    <w:rPr>
      <w:rFonts w:ascii="Courier New" w:hAnsi="Courier New" w:cs="Courier New"/>
    </w:rPr>
  </w:style>
  <w:style w:type="character" w:styleId="WW8NumSt114z2">
    <w:name w:val="WW8NumSt114z2"/>
    <w:qFormat/>
    <w:rPr>
      <w:rFonts w:ascii="Wingdings" w:hAnsi="Wingdings" w:cs="Wingdings"/>
    </w:rPr>
  </w:style>
  <w:style w:type="character" w:styleId="WW8NumSt114z3">
    <w:name w:val="WW8NumSt114z3"/>
    <w:qFormat/>
    <w:rPr>
      <w:rFonts w:ascii="Symbol" w:hAnsi="Symbol" w:cs="Symbol"/>
    </w:rPr>
  </w:style>
  <w:style w:type="character" w:styleId="WW8NumSt117z0">
    <w:name w:val="WW8NumSt117z0"/>
    <w:qFormat/>
    <w:rPr>
      <w:rFonts w:ascii="Palatino" w:hAnsi="Palatino" w:cs="Palatino"/>
    </w:rPr>
  </w:style>
  <w:style w:type="character" w:styleId="WW8NumSt122z0">
    <w:name w:val="WW8NumSt122z0"/>
    <w:qFormat/>
    <w:rPr>
      <w:rFonts w:ascii="Palatino Linotype" w:hAnsi="Palatino Linotype" w:cs="Palatino Linotype"/>
    </w:rPr>
  </w:style>
  <w:style w:type="character" w:styleId="WW8NumSt122z1">
    <w:name w:val="WW8NumSt122z1"/>
    <w:qFormat/>
    <w:rPr>
      <w:rFonts w:ascii="Courier New" w:hAnsi="Courier New" w:cs="Courier New"/>
    </w:rPr>
  </w:style>
  <w:style w:type="character" w:styleId="WW8NumSt122z2">
    <w:name w:val="WW8NumSt122z2"/>
    <w:qFormat/>
    <w:rPr>
      <w:rFonts w:ascii="Wingdings" w:hAnsi="Wingdings" w:cs="Wingdings"/>
    </w:rPr>
  </w:style>
  <w:style w:type="character" w:styleId="WW8NumSt122z3">
    <w:name w:val="WW8NumSt122z3"/>
    <w:qFormat/>
    <w:rPr>
      <w:rFonts w:ascii="Symbol" w:hAnsi="Symbol" w:cs="Symbol"/>
    </w:rPr>
  </w:style>
  <w:style w:type="character" w:styleId="WW8NumSt125z0">
    <w:name w:val="WW8NumSt125z0"/>
    <w:qFormat/>
    <w:rPr>
      <w:rFonts w:ascii="Palatino" w:hAnsi="Palatino" w:cs="Palatino"/>
    </w:rPr>
  </w:style>
  <w:style w:type="character" w:styleId="WW8NumSt136z0">
    <w:name w:val="WW8NumSt136z0"/>
    <w:qFormat/>
    <w:rPr>
      <w:rFonts w:ascii="Times New Roman" w:hAnsi="Times New Roman" w:cs="Times New Roman"/>
    </w:rPr>
  </w:style>
  <w:style w:type="character" w:styleId="WW8NumSt136z1">
    <w:name w:val="WW8NumSt136z1"/>
    <w:qFormat/>
    <w:rPr>
      <w:rFonts w:ascii="Courier New" w:hAnsi="Courier New" w:cs="Courier New"/>
    </w:rPr>
  </w:style>
  <w:style w:type="character" w:styleId="WW8NumSt136z2">
    <w:name w:val="WW8NumSt136z2"/>
    <w:qFormat/>
    <w:rPr>
      <w:rFonts w:ascii="Wingdings" w:hAnsi="Wingdings" w:cs="Wingdings"/>
    </w:rPr>
  </w:style>
  <w:style w:type="character" w:styleId="WW8NumSt136z3">
    <w:name w:val="WW8NumSt136z3"/>
    <w:qFormat/>
    <w:rPr>
      <w:rFonts w:ascii="Symbol" w:hAnsi="Symbol" w:cs="Symbol"/>
    </w:rPr>
  </w:style>
  <w:style w:type="character" w:styleId="WW8NumSt165z0">
    <w:name w:val="WW8NumSt165z0"/>
    <w:qFormat/>
    <w:rPr>
      <w:rFonts w:ascii="Palatino" w:hAnsi="Palatino" w:cs="Palatino"/>
    </w:rPr>
  </w:style>
  <w:style w:type="character" w:styleId="WW8NumSt166z0">
    <w:name w:val="WW8NumSt166z0"/>
    <w:qFormat/>
    <w:rPr>
      <w:rFonts w:ascii="Palatino" w:hAnsi="Palatino" w:cs="Palatino"/>
    </w:rPr>
  </w:style>
  <w:style w:type="character" w:styleId="WW8NumSt167z0">
    <w:name w:val="WW8NumSt167z0"/>
    <w:qFormat/>
    <w:rPr>
      <w:rFonts w:ascii="Palatino" w:hAnsi="Palatino" w:cs="Palatino"/>
    </w:rPr>
  </w:style>
  <w:style w:type="character" w:styleId="WW8NumSt168z0">
    <w:name w:val="WW8NumSt168z0"/>
    <w:qFormat/>
    <w:rPr>
      <w:rFonts w:ascii="Palatino" w:hAnsi="Palatino" w:cs="Palatino"/>
    </w:rPr>
  </w:style>
  <w:style w:type="character" w:styleId="WW8NumSt169z0">
    <w:name w:val="WW8NumSt169z0"/>
    <w:qFormat/>
    <w:rPr>
      <w:rFonts w:ascii="Palatino" w:hAnsi="Palatino" w:cs="Palatino"/>
    </w:rPr>
  </w:style>
  <w:style w:type="character" w:styleId="WW8NumSt170z0">
    <w:name w:val="WW8NumSt170z0"/>
    <w:qFormat/>
    <w:rPr>
      <w:rFonts w:ascii="Palatino" w:hAnsi="Palatino" w:cs="Palatino"/>
    </w:rPr>
  </w:style>
  <w:style w:type="character" w:styleId="WW8NumSt171z0">
    <w:name w:val="WW8NumSt171z0"/>
    <w:qFormat/>
    <w:rPr>
      <w:rFonts w:ascii="Palatino" w:hAnsi="Palatino" w:cs="Palatino"/>
    </w:rPr>
  </w:style>
  <w:style w:type="character" w:styleId="WW8NumSt172z0">
    <w:name w:val="WW8NumSt172z0"/>
    <w:qFormat/>
    <w:rPr>
      <w:rFonts w:ascii="Palatino" w:hAnsi="Palatino" w:cs="Palatino"/>
    </w:rPr>
  </w:style>
  <w:style w:type="character" w:styleId="WW8NumSt174z0">
    <w:name w:val="WW8NumSt174z0"/>
    <w:qFormat/>
    <w:rPr>
      <w:rFonts w:ascii="Wingdings" w:hAnsi="Wingdings" w:cs="Wingdings"/>
    </w:rPr>
  </w:style>
  <w:style w:type="character" w:styleId="WW8NumSt175z0">
    <w:name w:val="WW8NumSt175z0"/>
    <w:qFormat/>
    <w:rPr>
      <w:rFonts w:ascii="Wingdings" w:hAnsi="Wingdings" w:cs="Wingdings"/>
    </w:rPr>
  </w:style>
  <w:style w:type="character" w:styleId="WW8NumSt176z0">
    <w:name w:val="WW8NumSt176z0"/>
    <w:qFormat/>
    <w:rPr>
      <w:rFonts w:ascii="Wingdings" w:hAnsi="Wingdings" w:cs="Wingdings"/>
    </w:rPr>
  </w:style>
  <w:style w:type="character" w:styleId="WW8NumSt177z0">
    <w:name w:val="WW8NumSt177z0"/>
    <w:qFormat/>
    <w:rPr>
      <w:rFonts w:ascii="Wingdings" w:hAnsi="Wingdings" w:cs="Wingdings"/>
    </w:rPr>
  </w:style>
  <w:style w:type="character" w:styleId="WW8NumSt178z0">
    <w:name w:val="WW8NumSt178z0"/>
    <w:qFormat/>
    <w:rPr>
      <w:rFonts w:ascii="Wingdings" w:hAnsi="Wingdings" w:cs="Wingdings"/>
    </w:rPr>
  </w:style>
  <w:style w:type="character" w:styleId="WW8NumSt179z0">
    <w:name w:val="WW8NumSt179z0"/>
    <w:qFormat/>
    <w:rPr>
      <w:rFonts w:ascii="Palatino" w:hAnsi="Palatino" w:cs="Palatino"/>
    </w:rPr>
  </w:style>
  <w:style w:type="character" w:styleId="WW8NumSt180z0">
    <w:name w:val="WW8NumSt180z0"/>
    <w:qFormat/>
    <w:rPr>
      <w:rFonts w:ascii="Wingdings" w:hAnsi="Wingdings" w:cs="Wingdings"/>
    </w:rPr>
  </w:style>
  <w:style w:type="character" w:styleId="WW8NumSt181z0">
    <w:name w:val="WW8NumSt181z0"/>
    <w:qFormat/>
    <w:rPr>
      <w:rFonts w:ascii="Wingdings" w:hAnsi="Wingdings" w:cs="Wingdings"/>
    </w:rPr>
  </w:style>
  <w:style w:type="character" w:styleId="WW8NumSt182z0">
    <w:name w:val="WW8NumSt182z0"/>
    <w:qFormat/>
    <w:rPr>
      <w:rFonts w:ascii="Wingdings" w:hAnsi="Wingdings" w:cs="Wingdings"/>
    </w:rPr>
  </w:style>
  <w:style w:type="character" w:styleId="WW8NumSt183z0">
    <w:name w:val="WW8NumSt183z0"/>
    <w:qFormat/>
    <w:rPr>
      <w:rFonts w:ascii="Palatino" w:hAnsi="Palatino" w:cs="Palatino"/>
    </w:rPr>
  </w:style>
  <w:style w:type="character" w:styleId="WW8NumSt184z0">
    <w:name w:val="WW8NumSt184z0"/>
    <w:qFormat/>
    <w:rPr>
      <w:rFonts w:ascii="Palatino" w:hAnsi="Palatino" w:cs="Palatino"/>
    </w:rPr>
  </w:style>
  <w:style w:type="character" w:styleId="WW8NumSt185z0">
    <w:name w:val="WW8NumSt185z0"/>
    <w:qFormat/>
    <w:rPr>
      <w:rFonts w:ascii="Palatino" w:hAnsi="Palatino" w:cs="Palatino"/>
    </w:rPr>
  </w:style>
  <w:style w:type="character" w:styleId="WW8NumSt186z0">
    <w:name w:val="WW8NumSt186z0"/>
    <w:qFormat/>
    <w:rPr>
      <w:rFonts w:ascii="Palatino" w:hAnsi="Palatino" w:cs="Palatino"/>
    </w:rPr>
  </w:style>
  <w:style w:type="character" w:styleId="WW8NumSt187z0">
    <w:name w:val="WW8NumSt187z0"/>
    <w:qFormat/>
    <w:rPr>
      <w:rFonts w:ascii="Palatino" w:hAnsi="Palatino" w:cs="Palatino"/>
    </w:rPr>
  </w:style>
  <w:style w:type="character" w:styleId="WW8NumSt188z0">
    <w:name w:val="WW8NumSt188z0"/>
    <w:qFormat/>
    <w:rPr>
      <w:rFonts w:ascii="Palatino" w:hAnsi="Palatino" w:cs="Palatino"/>
    </w:rPr>
  </w:style>
  <w:style w:type="character" w:styleId="WW8NumSt189z0">
    <w:name w:val="WW8NumSt189z0"/>
    <w:qFormat/>
    <w:rPr>
      <w:rFonts w:ascii="Palatino" w:hAnsi="Palatino" w:cs="Palatino"/>
    </w:rPr>
  </w:style>
  <w:style w:type="character" w:styleId="WW8NumSt190z0">
    <w:name w:val="WW8NumSt190z0"/>
    <w:qFormat/>
    <w:rPr>
      <w:rFonts w:ascii="Palatino" w:hAnsi="Palatino" w:cs="Palatino"/>
    </w:rPr>
  </w:style>
  <w:style w:type="character" w:styleId="WW8NumSt191z0">
    <w:name w:val="WW8NumSt191z0"/>
    <w:qFormat/>
    <w:rPr>
      <w:rFonts w:ascii="Wingdings" w:hAnsi="Wingdings" w:cs="Wingdings"/>
    </w:rPr>
  </w:style>
  <w:style w:type="character" w:styleId="WW8NumSt192z0">
    <w:name w:val="WW8NumSt192z0"/>
    <w:qFormat/>
    <w:rPr>
      <w:rFonts w:ascii="Palatino" w:hAnsi="Palatino" w:cs="Palatino"/>
    </w:rPr>
  </w:style>
  <w:style w:type="character" w:styleId="WW8NumSt193z0">
    <w:name w:val="WW8NumSt193z0"/>
    <w:qFormat/>
    <w:rPr>
      <w:rFonts w:ascii="Wingdings" w:hAnsi="Wingdings" w:cs="Wingdings"/>
    </w:rPr>
  </w:style>
  <w:style w:type="character" w:styleId="WW8NumSt194z0">
    <w:name w:val="WW8NumSt194z0"/>
    <w:qFormat/>
    <w:rPr>
      <w:rFonts w:ascii="Wingdings" w:hAnsi="Wingdings" w:cs="Wingdings"/>
    </w:rPr>
  </w:style>
  <w:style w:type="character" w:styleId="WW8NumSt196z0">
    <w:name w:val="WW8NumSt196z0"/>
    <w:qFormat/>
    <w:rPr>
      <w:rFonts w:ascii="Palatino" w:hAnsi="Palatino" w:cs="Palatino"/>
    </w:rPr>
  </w:style>
  <w:style w:type="character" w:styleId="WW8NumSt197z0">
    <w:name w:val="WW8NumSt197z0"/>
    <w:qFormat/>
    <w:rPr>
      <w:rFonts w:ascii="Palatino" w:hAnsi="Palatino" w:cs="Palatino"/>
    </w:rPr>
  </w:style>
  <w:style w:type="character" w:styleId="WW8NumSt198z0">
    <w:name w:val="WW8NumSt198z0"/>
    <w:qFormat/>
    <w:rPr>
      <w:rFonts w:ascii="Wingdings" w:hAnsi="Wingdings" w:cs="Wingdings"/>
    </w:rPr>
  </w:style>
  <w:style w:type="character" w:styleId="WW8NumSt199z0">
    <w:name w:val="WW8NumSt199z0"/>
    <w:qFormat/>
    <w:rPr>
      <w:rFonts w:ascii="Wingdings" w:hAnsi="Wingdings" w:cs="Wingdings"/>
    </w:rPr>
  </w:style>
  <w:style w:type="character" w:styleId="WW8NumSt200z0">
    <w:name w:val="WW8NumSt200z0"/>
    <w:qFormat/>
    <w:rPr>
      <w:rFonts w:ascii="Wingdings" w:hAnsi="Wingdings" w:cs="Wingdings"/>
    </w:rPr>
  </w:style>
  <w:style w:type="character" w:styleId="WW8NumSt201z0">
    <w:name w:val="WW8NumSt201z0"/>
    <w:qFormat/>
    <w:rPr>
      <w:rFonts w:ascii="Wingdings" w:hAnsi="Wingdings" w:cs="Wingdings"/>
    </w:rPr>
  </w:style>
  <w:style w:type="character" w:styleId="WW8NumSt202z0">
    <w:name w:val="WW8NumSt202z0"/>
    <w:qFormat/>
    <w:rPr>
      <w:rFonts w:ascii="Wingdings" w:hAnsi="Wingdings" w:cs="Wingdings"/>
    </w:rPr>
  </w:style>
  <w:style w:type="character" w:styleId="WW8NumSt203z0">
    <w:name w:val="WW8NumSt203z0"/>
    <w:qFormat/>
    <w:rPr>
      <w:rFonts w:ascii="Wingdings" w:hAnsi="Wingdings" w:cs="Wingdings"/>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8"/>
      <w:vertAlign w:val="superscript"/>
    </w:rPr>
  </w:style>
  <w:style w:type="character" w:styleId="LineNumber">
    <w:name w:val="line number"/>
    <w:basedOn w:val="DefaultParagraphFon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Palatino" w:hAnsi="Palatino" w:cs="Palatino"/>
      <w:b/>
      <w:i/>
      <w:iCs/>
      <w:sz w:val="24"/>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32chaptertitle">
    <w:name w:val="32 chapter title"/>
    <w:basedOn w:val="Normal"/>
    <w:next w:val="Normal"/>
    <w:qFormat/>
    <w:pPr>
      <w:pageBreakBefore/>
      <w:spacing w:before="720" w:after="720"/>
      <w:ind w:hanging="547" w:start="547" w:end="1080"/>
      <w:outlineLvl w:val="1"/>
    </w:pPr>
    <w:rPr>
      <w:sz w:val="44"/>
    </w:rPr>
  </w:style>
  <w:style w:type="paragraph" w:styleId="20major">
    <w:name w:val="20 major"/>
    <w:basedOn w:val="Normal"/>
    <w:next w:val="Normal"/>
    <w:qFormat/>
    <w:pPr>
      <w:keepNext w:val="true"/>
      <w:tabs>
        <w:tab w:val="clear" w:pos="720"/>
        <w:tab w:val="left" w:pos="357" w:leader="none"/>
      </w:tabs>
      <w:spacing w:before="540" w:after="240"/>
      <w:ind w:hanging="0" w:start="0" w:end="360"/>
      <w:outlineLvl w:val="2"/>
    </w:pPr>
    <w:rPr>
      <w:b/>
      <w:caps/>
    </w:rPr>
  </w:style>
  <w:style w:type="paragraph" w:styleId="21minor">
    <w:name w:val="21 minor"/>
    <w:basedOn w:val="Normal"/>
    <w:next w:val="Normal"/>
    <w:qFormat/>
    <w:pPr>
      <w:keepNext w:val="true"/>
      <w:tabs>
        <w:tab w:val="clear" w:pos="720"/>
        <w:tab w:val="left" w:pos="357" w:leader="none"/>
      </w:tabs>
      <w:spacing w:before="300" w:after="240"/>
      <w:ind w:hanging="0" w:start="0" w:end="1800"/>
      <w:outlineLvl w:val="3"/>
    </w:pPr>
    <w:rPr>
      <w:b/>
    </w:rPr>
  </w:style>
  <w:style w:type="paragraph" w:styleId="01parapoint">
    <w:name w:val="01 parapoint"/>
    <w:basedOn w:val="Normal"/>
    <w:qFormat/>
    <w:pPr>
      <w:numPr>
        <w:ilvl w:val="0"/>
        <w:numId w:val="5"/>
      </w:numPr>
      <w:tabs>
        <w:tab w:val="clear" w:pos="720"/>
      </w:tabs>
      <w:outlineLvl w:val="5"/>
    </w:pPr>
    <w:rPr/>
  </w:style>
  <w:style w:type="paragraph" w:styleId="02bullet">
    <w:name w:val="02 bullet"/>
    <w:basedOn w:val="Normal"/>
    <w:qFormat/>
    <w:pPr>
      <w:numPr>
        <w:ilvl w:val="0"/>
        <w:numId w:val="14"/>
      </w:numPr>
      <w:tabs>
        <w:tab w:val="clear" w:pos="720"/>
      </w:tabs>
      <w:outlineLvl w:val="6"/>
    </w:pPr>
    <w:rPr/>
  </w:style>
  <w:style w:type="paragraph" w:styleId="03dash">
    <w:name w:val="03 dash"/>
    <w:basedOn w:val="Normal"/>
    <w:qFormat/>
    <w:pPr>
      <w:numPr>
        <w:ilvl w:val="0"/>
        <w:numId w:val="15"/>
      </w:numPr>
      <w:tabs>
        <w:tab w:val="clear" w:pos="720"/>
        <w:tab w:val="left" w:pos="1627" w:leader="none"/>
      </w:tabs>
      <w:outlineLvl w:val="7"/>
    </w:pPr>
    <w:rPr/>
  </w:style>
  <w:style w:type="paragraph" w:styleId="04dot">
    <w:name w:val="04 dot"/>
    <w:basedOn w:val="Normal"/>
    <w:qFormat/>
    <w:pPr>
      <w:numPr>
        <w:ilvl w:val="0"/>
        <w:numId w:val="8"/>
      </w:numPr>
      <w:tabs>
        <w:tab w:val="clear" w:pos="720"/>
      </w:tabs>
      <w:outlineLvl w:val="8"/>
    </w:pPr>
    <w:rPr/>
  </w:style>
  <w:style w:type="paragraph" w:styleId="05number1">
    <w:name w:val="05 number/1"/>
    <w:basedOn w:val="Normal"/>
    <w:qFormat/>
    <w:pPr>
      <w:ind w:hanging="289" w:start="981" w:end="0"/>
      <w:outlineLvl w:val="5"/>
    </w:pPr>
    <w:rPr/>
  </w:style>
  <w:style w:type="paragraph" w:styleId="06letter2">
    <w:name w:val="06 letter/2"/>
    <w:basedOn w:val="Normal"/>
    <w:qFormat/>
    <w:pPr>
      <w:ind w:hanging="318" w:start="1299" w:end="0"/>
      <w:outlineLvl w:val="6"/>
    </w:pPr>
    <w:rPr/>
  </w:style>
  <w:style w:type="paragraph" w:styleId="07number3">
    <w:name w:val="07 number/3"/>
    <w:basedOn w:val="Normal"/>
    <w:qFormat/>
    <w:pPr>
      <w:ind w:hanging="329" w:start="1627" w:end="0"/>
      <w:outlineLvl w:val="7"/>
    </w:pPr>
    <w:rPr/>
  </w:style>
  <w:style w:type="paragraph" w:styleId="08letter4">
    <w:name w:val="08 letter/4"/>
    <w:basedOn w:val="Normal"/>
    <w:qFormat/>
    <w:pPr>
      <w:ind w:hanging="261" w:start="1871" w:end="0"/>
      <w:outlineLvl w:val="8"/>
    </w:pPr>
    <w:rPr/>
  </w:style>
  <w:style w:type="paragraph" w:styleId="09number10">
    <w:name w:val="09 number/10"/>
    <w:basedOn w:val="05number1"/>
    <w:qFormat/>
    <w:pPr>
      <w:ind w:hanging="403" w:start="981" w:end="0"/>
    </w:pPr>
    <w:rPr/>
  </w:style>
  <w:style w:type="paragraph" w:styleId="10tablenormal">
    <w:name w:val="10 table normal"/>
    <w:basedOn w:val="Normal"/>
    <w:qFormat/>
    <w:pPr>
      <w:spacing w:before="0" w:after="0"/>
      <w:ind w:hanging="0" w:start="0" w:end="288"/>
    </w:pPr>
    <w:rPr/>
  </w:style>
  <w:style w:type="paragraph" w:styleId="11tableparapoint">
    <w:name w:val="11 table parapoint"/>
    <w:basedOn w:val="10tablenormal"/>
    <w:qFormat/>
    <w:pPr>
      <w:numPr>
        <w:ilvl w:val="0"/>
        <w:numId w:val="17"/>
      </w:numPr>
      <w:tabs>
        <w:tab w:val="clear" w:pos="720"/>
      </w:tabs>
    </w:pPr>
    <w:rPr/>
  </w:style>
  <w:style w:type="paragraph" w:styleId="12tablebullet">
    <w:name w:val="12 table bullet"/>
    <w:basedOn w:val="10tablenormal"/>
    <w:qFormat/>
    <w:pPr>
      <w:numPr>
        <w:ilvl w:val="0"/>
        <w:numId w:val="4"/>
      </w:numPr>
      <w:tabs>
        <w:tab w:val="clear" w:pos="720"/>
      </w:tabs>
    </w:pPr>
    <w:rPr/>
  </w:style>
  <w:style w:type="paragraph" w:styleId="13tabledash">
    <w:name w:val="13 table dash"/>
    <w:basedOn w:val="10tablenormal"/>
    <w:qFormat/>
    <w:pPr>
      <w:numPr>
        <w:ilvl w:val="0"/>
        <w:numId w:val="7"/>
      </w:numPr>
      <w:tabs>
        <w:tab w:val="clear" w:pos="720"/>
      </w:tabs>
    </w:pPr>
    <w:rPr/>
  </w:style>
  <w:style w:type="paragraph" w:styleId="14tabledot">
    <w:name w:val="14 table dot"/>
    <w:basedOn w:val="10tablenormal"/>
    <w:qFormat/>
    <w:pPr>
      <w:numPr>
        <w:ilvl w:val="0"/>
        <w:numId w:val="16"/>
      </w:numPr>
    </w:pPr>
    <w:rPr/>
  </w:style>
  <w:style w:type="paragraph" w:styleId="15tableheading">
    <w:name w:val="15 table heading"/>
    <w:basedOn w:val="10tablenormal"/>
    <w:next w:val="10tablenormal"/>
    <w:qFormat/>
    <w:pPr/>
    <w:rPr>
      <w:b/>
    </w:rPr>
  </w:style>
  <w:style w:type="paragraph" w:styleId="16tablenumber1">
    <w:name w:val="16 table number/1"/>
    <w:basedOn w:val="10tablenormal"/>
    <w:qFormat/>
    <w:pPr>
      <w:ind w:hanging="288" w:start="288" w:end="288"/>
    </w:pPr>
    <w:rPr/>
  </w:style>
  <w:style w:type="paragraph" w:styleId="17tableletter2">
    <w:name w:val="17 table letter/2"/>
    <w:basedOn w:val="10tablenormal"/>
    <w:qFormat/>
    <w:pPr>
      <w:ind w:hanging="317" w:start="605" w:end="288"/>
    </w:pPr>
    <w:rPr/>
  </w:style>
  <w:style w:type="paragraph" w:styleId="18tablenumber3">
    <w:name w:val="18 table number/3"/>
    <w:basedOn w:val="10tablenormal"/>
    <w:qFormat/>
    <w:pPr>
      <w:ind w:hanging="331" w:start="936" w:end="288"/>
    </w:pPr>
    <w:rPr/>
  </w:style>
  <w:style w:type="paragraph" w:styleId="19tableletter4">
    <w:name w:val="19 table letter/4"/>
    <w:basedOn w:val="10tablenormal"/>
    <w:qFormat/>
    <w:pPr>
      <w:ind w:hanging="331" w:start="1267" w:end="288"/>
    </w:pPr>
    <w:rPr/>
  </w:style>
  <w:style w:type="paragraph" w:styleId="199tablenumber10">
    <w:name w:val="199 table number/10"/>
    <w:basedOn w:val="10tablenormal"/>
    <w:qFormat/>
    <w:pPr>
      <w:tabs>
        <w:tab w:val="clear" w:pos="720"/>
        <w:tab w:val="right" w:pos="302" w:leader="none"/>
      </w:tabs>
      <w:ind w:hanging="389" w:start="389" w:end="288"/>
    </w:pPr>
    <w:rPr/>
  </w:style>
  <w:style w:type="paragraph" w:styleId="22numberedparagraph">
    <w:name w:val="22 numbered paragraph"/>
    <w:basedOn w:val="Normal"/>
    <w:next w:val="Normal"/>
    <w:qFormat/>
    <w:pPr>
      <w:tabs>
        <w:tab w:val="clear" w:pos="720"/>
        <w:tab w:val="left" w:pos="360" w:leader="none"/>
      </w:tabs>
      <w:outlineLvl w:val="4"/>
    </w:pPr>
    <w:rPr>
      <w:b/>
    </w:rPr>
  </w:style>
  <w:style w:type="paragraph" w:styleId="23summary3">
    <w:name w:val="23 summary 3*"/>
    <w:basedOn w:val="Normal"/>
    <w:next w:val="Normal"/>
    <w:qFormat/>
    <w:pPr>
      <w:spacing w:before="60" w:after="480"/>
      <w:jc w:val="center"/>
    </w:pPr>
    <w:rPr/>
  </w:style>
  <w:style w:type="paragraph" w:styleId="24enddateover">
    <w:name w:val="24 end date/over"/>
    <w:basedOn w:val="Normal"/>
    <w:next w:val="Normal"/>
    <w:qFormat/>
    <w:pPr>
      <w:spacing w:before="300" w:after="180"/>
      <w:ind w:hanging="0" w:start="0" w:end="720"/>
      <w:jc w:val="end"/>
    </w:pPr>
    <w:rPr>
      <w:i/>
    </w:rPr>
  </w:style>
  <w:style w:type="paragraph" w:styleId="25source">
    <w:name w:val="25 source"/>
    <w:basedOn w:val="Normal"/>
    <w:qFormat/>
    <w:pPr>
      <w:tabs>
        <w:tab w:val="clear" w:pos="720"/>
        <w:tab w:val="right" w:pos="619" w:leader="none"/>
      </w:tabs>
      <w:spacing w:before="0" w:after="40"/>
      <w:ind w:hanging="835" w:start="835" w:end="0"/>
    </w:pPr>
    <w:rPr>
      <w:sz w:val="18"/>
    </w:rPr>
  </w:style>
  <w:style w:type="paragraph" w:styleId="26note">
    <w:name w:val="26 note"/>
    <w:basedOn w:val="Normal"/>
    <w:qFormat/>
    <w:pPr>
      <w:tabs>
        <w:tab w:val="clear" w:pos="720"/>
        <w:tab w:val="right" w:pos="446" w:leader="none"/>
      </w:tabs>
      <w:spacing w:before="0" w:after="40"/>
      <w:ind w:hanging="648" w:start="648" w:end="0"/>
    </w:pPr>
    <w:rPr>
      <w:sz w:val="18"/>
    </w:rPr>
  </w:style>
  <w:style w:type="paragraph" w:styleId="30documenttitle">
    <w:name w:val="30 document title"/>
    <w:basedOn w:val="Normal"/>
    <w:next w:val="31subtitle"/>
    <w:qFormat/>
    <w:pPr>
      <w:spacing w:before="720" w:after="360"/>
      <w:ind w:hanging="0" w:start="0" w:end="1080"/>
      <w:outlineLvl w:val="0"/>
    </w:pPr>
    <w:rPr>
      <w:sz w:val="44"/>
    </w:rPr>
  </w:style>
  <w:style w:type="paragraph" w:styleId="31subtitle">
    <w:name w:val="31 subtitle"/>
    <w:basedOn w:val="Normal"/>
    <w:next w:val="Normal"/>
    <w:qFormat/>
    <w:pPr>
      <w:spacing w:before="0" w:after="720"/>
      <w:ind w:hanging="0" w:start="0" w:end="3601"/>
    </w:pPr>
    <w:rPr>
      <w:i/>
    </w:rPr>
  </w:style>
  <w:style w:type="paragraph" w:styleId="33contentschapter">
    <w:name w:val="33 contents chapter"/>
    <w:basedOn w:val="Normal"/>
    <w:next w:val="35contentssubject"/>
    <w:qFormat/>
    <w:pPr>
      <w:tabs>
        <w:tab w:val="clear" w:pos="720"/>
        <w:tab w:val="left" w:pos="360" w:leader="none"/>
        <w:tab w:val="right" w:pos="8640" w:leader="none"/>
      </w:tabs>
      <w:spacing w:before="0" w:after="240"/>
    </w:pPr>
    <w:rPr>
      <w:b/>
    </w:rPr>
  </w:style>
  <w:style w:type="paragraph" w:styleId="34contentspage">
    <w:name w:val="34 contents page"/>
    <w:basedOn w:val="Normal"/>
    <w:next w:val="Normal"/>
    <w:qFormat/>
    <w:pPr>
      <w:tabs>
        <w:tab w:val="clear" w:pos="720"/>
        <w:tab w:val="right" w:pos="8640" w:leader="none"/>
      </w:tabs>
      <w:jc w:val="end"/>
    </w:pPr>
    <w:rPr>
      <w:i/>
      <w:sz w:val="18"/>
    </w:rPr>
  </w:style>
  <w:style w:type="paragraph" w:styleId="35contentssubject">
    <w:name w:val="35 contents subject"/>
    <w:basedOn w:val="Normal"/>
    <w:qFormat/>
    <w:pPr>
      <w:tabs>
        <w:tab w:val="left" w:pos="720" w:leader="none"/>
        <w:tab w:val="right" w:pos="8640" w:leader="none"/>
      </w:tabs>
      <w:ind w:hanging="0" w:start="360" w:end="0"/>
    </w:pPr>
    <w:rPr/>
  </w:style>
  <w:style w:type="paragraph" w:styleId="36opener">
    <w:name w:val="36 opener"/>
    <w:basedOn w:val="Normal"/>
    <w:qFormat/>
    <w:pPr>
      <w:tabs>
        <w:tab w:val="clear" w:pos="720"/>
        <w:tab w:val="right" w:pos="-261" w:leader="none"/>
      </w:tabs>
      <w:spacing w:before="0" w:after="0"/>
      <w:ind w:hanging="2160" w:start="0" w:end="0"/>
    </w:pPr>
    <w:rPr/>
  </w:style>
  <w:style w:type="paragraph" w:styleId="37memointervtitle">
    <w:name w:val="37 memo/interv title"/>
    <w:basedOn w:val="Normal"/>
    <w:next w:val="Normal"/>
    <w:qFormat/>
    <w:pPr>
      <w:spacing w:before="720" w:after="360"/>
    </w:pPr>
    <w:rPr>
      <w:sz w:val="44"/>
    </w:rPr>
  </w:style>
  <w:style w:type="paragraph" w:styleId="38date">
    <w:name w:val="38 date"/>
    <w:basedOn w:val="Normal"/>
    <w:next w:val="39restrictivenote"/>
    <w:qFormat/>
    <w:pPr>
      <w:spacing w:before="1680" w:after="180"/>
      <w:jc w:val="end"/>
    </w:pPr>
    <w:rPr/>
  </w:style>
  <w:style w:type="paragraph" w:styleId="39restrictivenote">
    <w:name w:val="39 restrictive note"/>
    <w:basedOn w:val="Normal"/>
    <w:next w:val="40address"/>
    <w:qFormat/>
    <w:pPr/>
    <w:rPr>
      <w:i/>
    </w:rPr>
  </w:style>
  <w:style w:type="paragraph" w:styleId="40address">
    <w:name w:val="40 address"/>
    <w:basedOn w:val="Normal"/>
    <w:qFormat/>
    <w:pPr/>
    <w:rPr/>
  </w:style>
  <w:style w:type="paragraph" w:styleId="41closing">
    <w:name w:val="41 closing"/>
    <w:basedOn w:val="Normal"/>
    <w:qFormat/>
    <w:pPr>
      <w:spacing w:before="60" w:after="180"/>
      <w:ind w:hanging="0" w:start="3958" w:end="0"/>
    </w:pPr>
    <w:rPr/>
  </w:style>
  <w:style w:type="paragraph" w:styleId="42cc">
    <w:name w:val="42 cc:"/>
    <w:basedOn w:val="Normal"/>
    <w:qFormat/>
    <w:pPr>
      <w:ind w:hanging="544" w:start="54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i/>
    </w:rPr>
  </w:style>
  <w:style w:type="paragraph" w:styleId="43letterheader">
    <w:name w:val="43 letter header"/>
    <w:basedOn w:val="Header"/>
    <w:qFormat/>
    <w:pPr/>
    <w:rPr>
      <w:sz w:val="20"/>
    </w:rPr>
  </w:style>
  <w:style w:type="paragraph" w:styleId="44monarchclosing">
    <w:name w:val="44 monarch closing"/>
    <w:basedOn w:val="Normal"/>
    <w:qFormat/>
    <w:pPr>
      <w:spacing w:before="60" w:after="180"/>
      <w:ind w:hanging="0" w:start="2778" w:end="0"/>
    </w:pPr>
    <w:rPr/>
  </w:style>
  <w:style w:type="paragraph" w:styleId="45monarchheader">
    <w:name w:val="45 monarch header"/>
    <w:basedOn w:val="Normal"/>
    <w:qFormat/>
    <w:pPr>
      <w:tabs>
        <w:tab w:val="clear" w:pos="720"/>
        <w:tab w:val="center" w:pos="3510" w:leader="none"/>
        <w:tab w:val="right" w:pos="7020" w:leader="none"/>
      </w:tabs>
    </w:pPr>
    <w:rPr>
      <w:i/>
    </w:rPr>
  </w:style>
  <w:style w:type="paragraph" w:styleId="46monarchdate">
    <w:name w:val="46 monarch date"/>
    <w:basedOn w:val="38date"/>
    <w:next w:val="39restrictivenote"/>
    <w:qFormat/>
    <w:pPr>
      <w:jc w:val="start"/>
    </w:pPr>
    <w:rPr/>
  </w:style>
  <w:style w:type="paragraph" w:styleId="50horizchaptertitle">
    <w:name w:val="50 horiz chapter title"/>
    <w:basedOn w:val="32chaptertitle"/>
    <w:next w:val="Normal"/>
    <w:qFormat/>
    <w:pPr>
      <w:pageBreakBefore w:val="false"/>
      <w:spacing w:before="0" w:after="720"/>
    </w:pPr>
    <w:rPr/>
  </w:style>
  <w:style w:type="paragraph" w:styleId="51horizmajor">
    <w:name w:val="51 horiz major"/>
    <w:basedOn w:val="20major"/>
    <w:next w:val="Normal"/>
    <w:qFormat/>
    <w:pPr>
      <w:spacing w:before="0" w:after="240"/>
    </w:pPr>
    <w:rPr/>
  </w:style>
  <w:style w:type="paragraph" w:styleId="52horizminor">
    <w:name w:val="52 horiz minor"/>
    <w:basedOn w:val="21minor"/>
    <w:next w:val="Normal"/>
    <w:qFormat/>
    <w:pPr>
      <w:spacing w:before="0" w:after="240"/>
    </w:pPr>
    <w:rPr/>
  </w:style>
  <w:style w:type="paragraph" w:styleId="53horizpagenumber">
    <w:name w:val="53 horiz page number"/>
    <w:basedOn w:val="Normal"/>
    <w:qFormat/>
    <w:pPr>
      <w:tabs>
        <w:tab w:val="clear" w:pos="720"/>
        <w:tab w:val="center" w:pos="5846" w:leader="none"/>
        <w:tab w:val="right" w:pos="11707" w:leader="none"/>
      </w:tabs>
      <w:ind w:hanging="0" w:start="0" w:end="-4320"/>
    </w:pPr>
    <w:rPr/>
  </w:style>
  <w:style w:type="paragraph" w:styleId="60exhnormal">
    <w:name w:val="60 exh normal"/>
    <w:basedOn w:val="Normal"/>
    <w:qFormat/>
    <w:pPr>
      <w:spacing w:before="0" w:after="0"/>
    </w:pPr>
    <w:rPr>
      <w:rFonts w:ascii="Arial" w:hAnsi="Arial" w:cs="Arial"/>
      <w:sz w:val="24"/>
    </w:rPr>
  </w:style>
  <w:style w:type="paragraph" w:styleId="61exhbullet">
    <w:name w:val="61 exh bullet"/>
    <w:basedOn w:val="Normal"/>
    <w:qFormat/>
    <w:pPr>
      <w:numPr>
        <w:ilvl w:val="0"/>
        <w:numId w:val="11"/>
      </w:numPr>
      <w:tabs>
        <w:tab w:val="clear" w:pos="720"/>
      </w:tabs>
      <w:spacing w:before="0" w:after="0"/>
    </w:pPr>
    <w:rPr>
      <w:rFonts w:ascii="Arial" w:hAnsi="Arial" w:cs="Arial"/>
      <w:sz w:val="24"/>
    </w:rPr>
  </w:style>
  <w:style w:type="paragraph" w:styleId="62exhdash">
    <w:name w:val="62 exh dash"/>
    <w:basedOn w:val="12tablebullet"/>
    <w:qFormat/>
    <w:pPr>
      <w:numPr>
        <w:ilvl w:val="0"/>
        <w:numId w:val="9"/>
      </w:numPr>
      <w:tabs>
        <w:tab w:val="left" w:pos="360" w:leader="none"/>
        <w:tab w:val="left" w:pos="605" w:leader="none"/>
      </w:tabs>
    </w:pPr>
    <w:rPr>
      <w:rFonts w:ascii="Arial" w:hAnsi="Arial" w:cs="Arial"/>
      <w:sz w:val="24"/>
    </w:rPr>
  </w:style>
  <w:style w:type="paragraph" w:styleId="63exhdot">
    <w:name w:val="63 exh dot"/>
    <w:basedOn w:val="13tabledash"/>
    <w:qFormat/>
    <w:pPr>
      <w:numPr>
        <w:ilvl w:val="0"/>
        <w:numId w:val="12"/>
      </w:numPr>
      <w:tabs>
        <w:tab w:val="left" w:pos="360" w:leader="none"/>
      </w:tabs>
    </w:pPr>
    <w:rPr>
      <w:rFonts w:ascii="Arial" w:hAnsi="Arial" w:cs="Arial"/>
      <w:sz w:val="24"/>
    </w:rPr>
  </w:style>
  <w:style w:type="paragraph" w:styleId="64exhddot">
    <w:name w:val="64 exh ddot"/>
    <w:basedOn w:val="04dot"/>
    <w:qFormat/>
    <w:pPr>
      <w:numPr>
        <w:ilvl w:val="0"/>
        <w:numId w:val="10"/>
      </w:numPr>
      <w:spacing w:before="0" w:after="0"/>
      <w:ind w:hanging="259" w:start="1195" w:end="0"/>
      <w:outlineLvl w:val="9"/>
    </w:pPr>
    <w:rPr>
      <w:rFonts w:ascii="Arial" w:hAnsi="Arial" w:cs="Arial"/>
      <w:sz w:val="24"/>
    </w:rPr>
  </w:style>
  <w:style w:type="paragraph" w:styleId="65exhnumber1">
    <w:name w:val="65 exh number/1"/>
    <w:basedOn w:val="16tablenumber1"/>
    <w:qFormat/>
    <w:pPr>
      <w:ind w:hanging="288" w:start="288" w:end="0"/>
    </w:pPr>
    <w:rPr>
      <w:rFonts w:ascii="Arial" w:hAnsi="Arial" w:cs="Arial"/>
      <w:sz w:val="24"/>
    </w:rPr>
  </w:style>
  <w:style w:type="paragraph" w:styleId="66exhletter2">
    <w:name w:val="66 exh letter/2"/>
    <w:basedOn w:val="17tableletter2"/>
    <w:qFormat/>
    <w:pPr>
      <w:ind w:hanging="317" w:start="605" w:end="0"/>
    </w:pPr>
    <w:rPr>
      <w:rFonts w:ascii="Arial" w:hAnsi="Arial" w:cs="Arial"/>
      <w:sz w:val="24"/>
    </w:rPr>
  </w:style>
  <w:style w:type="paragraph" w:styleId="67exhnumber3">
    <w:name w:val="67 exh number/3"/>
    <w:basedOn w:val="18tablenumber3"/>
    <w:qFormat/>
    <w:pPr>
      <w:ind w:hanging="331" w:start="936" w:end="0"/>
    </w:pPr>
    <w:rPr>
      <w:rFonts w:ascii="Arial" w:hAnsi="Arial" w:cs="Arial"/>
      <w:sz w:val="24"/>
    </w:rPr>
  </w:style>
  <w:style w:type="paragraph" w:styleId="68exhletter4">
    <w:name w:val="68 exh letter/4"/>
    <w:basedOn w:val="19tableletter4"/>
    <w:qFormat/>
    <w:pPr>
      <w:ind w:hanging="331" w:start="1267" w:end="0"/>
    </w:pPr>
    <w:rPr>
      <w:rFonts w:ascii="Arial" w:hAnsi="Arial" w:cs="Arial"/>
      <w:sz w:val="24"/>
    </w:rPr>
  </w:style>
  <w:style w:type="paragraph" w:styleId="69exhnumber10">
    <w:name w:val="69 exh number/10"/>
    <w:basedOn w:val="60exhnormal"/>
    <w:qFormat/>
    <w:pPr>
      <w:tabs>
        <w:tab w:val="clear" w:pos="720"/>
        <w:tab w:val="right" w:pos="331" w:leader="none"/>
      </w:tabs>
      <w:ind w:hanging="418" w:start="418" w:end="0"/>
    </w:pPr>
    <w:rPr/>
  </w:style>
  <w:style w:type="paragraph" w:styleId="70exhtblnormal">
    <w:name w:val="70 exh tbl normal"/>
    <w:basedOn w:val="10tablenormal"/>
    <w:qFormat/>
    <w:pPr/>
    <w:rPr>
      <w:rFonts w:ascii="Arial" w:hAnsi="Arial" w:cs="Arial"/>
      <w:sz w:val="24"/>
    </w:rPr>
  </w:style>
  <w:style w:type="paragraph" w:styleId="71exhtblbullet">
    <w:name w:val="71 exh tbl bullet"/>
    <w:basedOn w:val="11tableparapoint"/>
    <w:qFormat/>
    <w:pPr>
      <w:numPr>
        <w:ilvl w:val="0"/>
        <w:numId w:val="3"/>
      </w:numPr>
    </w:pPr>
    <w:rPr>
      <w:rFonts w:ascii="Arial" w:hAnsi="Arial" w:cs="Arial"/>
      <w:sz w:val="24"/>
    </w:rPr>
  </w:style>
  <w:style w:type="paragraph" w:styleId="72exhtbldash">
    <w:name w:val="72 exh tbl dash"/>
    <w:basedOn w:val="12tablebullet"/>
    <w:qFormat/>
    <w:pPr>
      <w:numPr>
        <w:ilvl w:val="0"/>
        <w:numId w:val="6"/>
      </w:numPr>
    </w:pPr>
    <w:rPr>
      <w:rFonts w:ascii="Arial" w:hAnsi="Arial" w:cs="Arial"/>
      <w:sz w:val="24"/>
    </w:rPr>
  </w:style>
  <w:style w:type="paragraph" w:styleId="73exhtbldot">
    <w:name w:val="73 exh tbl dot"/>
    <w:basedOn w:val="13tabledash"/>
    <w:qFormat/>
    <w:pPr>
      <w:numPr>
        <w:ilvl w:val="0"/>
        <w:numId w:val="13"/>
      </w:numPr>
      <w:tabs>
        <w:tab w:val="left" w:pos="936" w:leader="none"/>
      </w:tabs>
    </w:pPr>
    <w:rPr>
      <w:rFonts w:ascii="Arial" w:hAnsi="Arial" w:cs="Arial"/>
      <w:sz w:val="24"/>
    </w:rPr>
  </w:style>
  <w:style w:type="paragraph" w:styleId="74exhtblddot">
    <w:name w:val="74 exh tbl ddot"/>
    <w:basedOn w:val="14tabledot"/>
    <w:qFormat/>
    <w:pPr>
      <w:numPr>
        <w:ilvl w:val="0"/>
        <w:numId w:val="2"/>
      </w:numPr>
      <w:ind w:hanging="259" w:start="1195" w:end="288"/>
    </w:pPr>
    <w:rPr>
      <w:rFonts w:ascii="Arial" w:hAnsi="Arial" w:cs="Arial"/>
      <w:sz w:val="24"/>
    </w:rPr>
  </w:style>
  <w:style w:type="paragraph" w:styleId="75exhtblheading">
    <w:name w:val="75 exh tbl heading"/>
    <w:basedOn w:val="70exhtblnormal"/>
    <w:next w:val="70exhtblnormal"/>
    <w:qFormat/>
    <w:pPr/>
    <w:rPr>
      <w:b/>
    </w:rPr>
  </w:style>
  <w:style w:type="paragraph" w:styleId="76exhtblnumber1">
    <w:name w:val="76 exh tbl number/1"/>
    <w:basedOn w:val="16tablenumber1"/>
    <w:qFormat/>
    <w:pPr/>
    <w:rPr>
      <w:rFonts w:ascii="Arial" w:hAnsi="Arial" w:cs="Arial"/>
      <w:sz w:val="24"/>
    </w:rPr>
  </w:style>
  <w:style w:type="paragraph" w:styleId="77exhtblletter2">
    <w:name w:val="77 exh tbl letter/2"/>
    <w:basedOn w:val="17tableletter2"/>
    <w:qFormat/>
    <w:pPr/>
    <w:rPr>
      <w:rFonts w:ascii="Arial" w:hAnsi="Arial" w:cs="Arial"/>
      <w:sz w:val="24"/>
    </w:rPr>
  </w:style>
  <w:style w:type="paragraph" w:styleId="78exhtblnumber3">
    <w:name w:val="78 exh tbl number/3"/>
    <w:basedOn w:val="18tablenumber3"/>
    <w:qFormat/>
    <w:pPr/>
    <w:rPr>
      <w:rFonts w:ascii="Arial" w:hAnsi="Arial" w:cs="Arial"/>
      <w:sz w:val="24"/>
    </w:rPr>
  </w:style>
  <w:style w:type="paragraph" w:styleId="79exhtblletter4">
    <w:name w:val="79 exh tbl letter/4"/>
    <w:basedOn w:val="19tableletter4"/>
    <w:qFormat/>
    <w:pPr/>
    <w:rPr>
      <w:rFonts w:ascii="Arial" w:hAnsi="Arial" w:cs="Arial"/>
      <w:sz w:val="24"/>
    </w:rPr>
  </w:style>
  <w:style w:type="paragraph" w:styleId="799exhtblnumber10">
    <w:name w:val="799 exh tbl number/10"/>
    <w:basedOn w:val="70exhtblnormal"/>
    <w:qFormat/>
    <w:pPr>
      <w:tabs>
        <w:tab w:val="clear" w:pos="720"/>
        <w:tab w:val="right" w:pos="331" w:leader="none"/>
      </w:tabs>
      <w:ind w:hanging="418" w:start="418" w:end="288"/>
    </w:pPr>
    <w:rPr/>
  </w:style>
  <w:style w:type="paragraph" w:styleId="80exhannotation">
    <w:name w:val="80 exh annotation"/>
    <w:basedOn w:val="60exhnormal"/>
    <w:qFormat/>
    <w:pPr>
      <w:pageBreakBefore/>
      <w:ind w:hanging="0" w:start="0" w:end="2880"/>
    </w:pPr>
    <w:rPr>
      <w:rFonts w:ascii="Times New Roman" w:hAnsi="Times New Roman" w:cs="Times New Roman"/>
      <w:sz w:val="26"/>
    </w:rPr>
  </w:style>
  <w:style w:type="paragraph" w:styleId="81exhmessage">
    <w:name w:val="81 exh message"/>
    <w:basedOn w:val="60exhnormal"/>
    <w:next w:val="60exhnormal"/>
    <w:qFormat/>
    <w:pPr/>
    <w:rPr>
      <w:b/>
      <w:sz w:val="28"/>
    </w:rPr>
  </w:style>
  <w:style w:type="paragraph" w:styleId="82exhnumber">
    <w:name w:val="82 exh number"/>
    <w:basedOn w:val="60exhnormal"/>
    <w:next w:val="60exhnormal"/>
    <w:qFormat/>
    <w:pPr/>
    <w:rPr>
      <w:sz w:val="18"/>
    </w:rPr>
  </w:style>
  <w:style w:type="paragraph" w:styleId="83exhtitle">
    <w:name w:val="83 exh title"/>
    <w:basedOn w:val="60exhnormal"/>
    <w:next w:val="84exhsubtitle"/>
    <w:qFormat/>
    <w:pPr>
      <w:spacing w:before="100" w:after="0"/>
    </w:pPr>
    <w:rPr>
      <w:b/>
      <w:caps/>
    </w:rPr>
  </w:style>
  <w:style w:type="paragraph" w:styleId="84exhsubtitle">
    <w:name w:val="84 exh subtitle"/>
    <w:basedOn w:val="60exhnormal"/>
    <w:next w:val="86exhmeasure"/>
    <w:qFormat/>
    <w:pPr>
      <w:spacing w:before="100" w:after="0"/>
    </w:pPr>
    <w:rPr>
      <w:b/>
    </w:rPr>
  </w:style>
  <w:style w:type="paragraph" w:styleId="85exhsticker">
    <w:name w:val="85 exh sticker"/>
    <w:basedOn w:val="60exhnormal"/>
    <w:next w:val="60exhnormal"/>
    <w:qFormat/>
    <w:pPr>
      <w:pBdr>
        <w:top w:val="single" w:sz="6" w:space="1" w:color="000000"/>
        <w:bottom w:val="single" w:sz="6" w:space="1" w:color="000000"/>
      </w:pBdr>
      <w:spacing w:before="100" w:after="0"/>
      <w:jc w:val="center"/>
    </w:pPr>
    <w:rPr>
      <w:i/>
      <w:caps/>
      <w:sz w:val="18"/>
    </w:rPr>
  </w:style>
  <w:style w:type="paragraph" w:styleId="86exhmeasure">
    <w:name w:val="86 exh measure"/>
    <w:basedOn w:val="60exhnormal"/>
    <w:next w:val="60exhnormal"/>
    <w:qFormat/>
    <w:pPr>
      <w:spacing w:before="100" w:after="0"/>
    </w:pPr>
    <w:rPr/>
  </w:style>
  <w:style w:type="paragraph" w:styleId="87exhreference">
    <w:name w:val="87 exh reference#"/>
    <w:basedOn w:val="Normal"/>
    <w:qFormat/>
    <w:pPr/>
    <w:rPr>
      <w:i/>
      <w:sz w:val="16"/>
    </w:rPr>
  </w:style>
  <w:style w:type="paragraph" w:styleId="88exhsource">
    <w:name w:val="88 exh source"/>
    <w:basedOn w:val="60exhnormal"/>
    <w:next w:val="60exhnormal"/>
    <w:qFormat/>
    <w:pPr>
      <w:tabs>
        <w:tab w:val="clear" w:pos="720"/>
        <w:tab w:val="right" w:pos="618" w:leader="none"/>
      </w:tabs>
      <w:spacing w:before="0" w:after="40"/>
      <w:ind w:hanging="835" w:start="835" w:end="0"/>
    </w:pPr>
    <w:rPr>
      <w:sz w:val="18"/>
    </w:rPr>
  </w:style>
  <w:style w:type="paragraph" w:styleId="89exhnote">
    <w:name w:val="89 exh note"/>
    <w:basedOn w:val="60exhnormal"/>
    <w:next w:val="60exhnormal"/>
    <w:qFormat/>
    <w:pPr>
      <w:tabs>
        <w:tab w:val="clear" w:pos="720"/>
        <w:tab w:val="right" w:pos="448" w:leader="none"/>
      </w:tabs>
      <w:spacing w:before="0" w:after="40"/>
      <w:ind w:hanging="648" w:start="648" w:end="0"/>
    </w:pPr>
    <w:rPr>
      <w:sz w:val="18"/>
    </w:rPr>
  </w:style>
  <w:style w:type="paragraph" w:styleId="90exhnote">
    <w:name w:val="90 exh note*"/>
    <w:basedOn w:val="60exhnormal"/>
    <w:next w:val="60exhnormal"/>
    <w:qFormat/>
    <w:pPr>
      <w:spacing w:before="0" w:after="40"/>
      <w:ind w:hanging="187" w:start="187" w:end="0"/>
    </w:pPr>
    <w:rPr>
      <w:sz w:val="18"/>
    </w:rPr>
  </w:style>
  <w:style w:type="paragraph" w:styleId="91exhnote">
    <w:name w:val="91 exh note**"/>
    <w:basedOn w:val="60exhnormal"/>
    <w:qFormat/>
    <w:pPr>
      <w:tabs>
        <w:tab w:val="clear" w:pos="720"/>
        <w:tab w:val="right" w:pos="187" w:leader="none"/>
      </w:tabs>
      <w:spacing w:before="0" w:after="40"/>
      <w:ind w:hanging="360" w:start="360" w:end="0"/>
    </w:pPr>
    <w:rPr>
      <w:sz w:val="18"/>
    </w:rPr>
  </w:style>
  <w:style w:type="paragraph" w:styleId="92exhnote">
    <w:name w:val="92 exh note***"/>
    <w:basedOn w:val="60exhnormal"/>
    <w:qFormat/>
    <w:pPr>
      <w:tabs>
        <w:tab w:val="clear" w:pos="720"/>
        <w:tab w:val="right" w:pos="261" w:leader="none"/>
      </w:tabs>
      <w:spacing w:before="0" w:after="40"/>
      <w:ind w:hanging="446" w:start="446" w:end="0"/>
    </w:pPr>
    <w:rPr>
      <w:sz w:val="18"/>
    </w:rPr>
  </w:style>
  <w:style w:type="paragraph" w:styleId="CommentText">
    <w:name w:val="Comment Text"/>
    <w:basedOn w:val="Normal"/>
    <w:qFormat/>
    <w:pPr/>
    <w:rPr>
      <w:sz w:val="20"/>
    </w:rPr>
  </w:style>
  <w:style w:type="paragraph" w:styleId="DocumentID-BL">
    <w:name w:val="DocumentID-BL"/>
    <w:basedOn w:val="Normal"/>
    <w:next w:val="Header"/>
    <w:qFormat/>
    <w:pPr>
      <w:spacing w:before="0" w:after="0"/>
    </w:pPr>
    <w:rPr>
      <w:sz w:val="16"/>
    </w:rPr>
  </w:style>
  <w:style w:type="paragraph" w:styleId="DocumentID-BLT">
    <w:name w:val="DocumentID-BLT"/>
    <w:basedOn w:val="DocumentID-BL"/>
    <w:qFormat/>
    <w:pPr/>
    <w:rPr>
      <w:vanish/>
      <w:color w:val="FF0000"/>
    </w:rPr>
  </w:style>
  <w:style w:type="paragraph" w:styleId="DocumentID-TR">
    <w:name w:val="DocumentID-TR"/>
    <w:basedOn w:val="Normal"/>
    <w:next w:val="Header"/>
    <w:qFormat/>
    <w:pPr>
      <w:spacing w:before="0" w:after="0"/>
      <w:jc w:val="end"/>
    </w:pPr>
    <w:rPr>
      <w:sz w:val="16"/>
    </w:rPr>
  </w:style>
  <w:style w:type="paragraph" w:styleId="DocumentID-TRT">
    <w:name w:val="DocumentID-TRT"/>
    <w:basedOn w:val="DocumentID-TR"/>
    <w:qFormat/>
    <w:pPr/>
    <w:rPr>
      <w:vanish/>
      <w:color w:val="FF0000"/>
    </w:rPr>
  </w:style>
  <w:style w:type="paragraph" w:styleId="EndnoteText">
    <w:name w:val="endnote text"/>
    <w:basedOn w:val="Normal"/>
    <w:pPr/>
    <w:rPr>
      <w:sz w:val="20"/>
    </w:rPr>
  </w:style>
  <w:style w:type="paragraph" w:styleId="EnvelopeAddress">
    <w:name w:val="envelope address"/>
    <w:basedOn w:val="Normal"/>
    <w:pPr>
      <w:spacing w:before="0" w:after="0"/>
      <w:ind w:hanging="0" w:start="2880" w:end="0"/>
    </w:pPr>
    <w:rPr/>
  </w:style>
  <w:style w:type="paragraph" w:styleId="EnvelopeReturn">
    <w:name w:val="envelope return"/>
    <w:basedOn w:val="Normal"/>
    <w:pPr>
      <w:spacing w:before="0" w:after="0"/>
    </w:pPr>
    <w:rPr>
      <w:sz w:val="20"/>
    </w:rPr>
  </w:style>
  <w:style w:type="paragraph" w:styleId="Footer">
    <w:name w:val="footer"/>
    <w:basedOn w:val="Normal"/>
    <w:pPr>
      <w:jc w:val="end"/>
    </w:pPr>
    <w:rPr/>
  </w:style>
  <w:style w:type="paragraph" w:styleId="FootnoteText">
    <w:name w:val="footnote text"/>
    <w:basedOn w:val="Normal"/>
    <w:pPr>
      <w:spacing w:before="0" w:after="0"/>
      <w:ind w:hanging="288" w:start="288" w:end="0"/>
    </w:pPr>
    <w:rPr>
      <w:sz w:val="18"/>
    </w:rPr>
  </w:style>
  <w:style w:type="paragraph" w:styleId="MacroText">
    <w:name w:val="Macro Text"/>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s>
      <w:bidi w:val="0"/>
      <w:ind w:hanging="0" w:start="0" w:end="-4176"/>
    </w:pPr>
    <w:rPr>
      <w:rFonts w:ascii="Arial" w:hAnsi="Arial" w:eastAsia="Times New Roman" w:cs="Arial"/>
      <w:color w:val="auto"/>
      <w:sz w:val="20"/>
      <w:szCs w:val="20"/>
      <w:lang w:val="en-US" w:bidi="ar-SA" w:eastAsia="zh-CN"/>
    </w:rPr>
  </w:style>
  <w:style w:type="paragraph" w:styleId="NormalIndent">
    <w:name w:val="Normal Indent"/>
    <w:basedOn w:val="Normal"/>
    <w:qFormat/>
    <w:pPr>
      <w:tabs>
        <w:tab w:val="clear" w:pos="720"/>
        <w:tab w:val="right" w:pos="851" w:leader="none"/>
      </w:tabs>
      <w:ind w:hanging="0" w:start="981" w:end="0"/>
    </w:pPr>
    <w:rPr/>
  </w:style>
  <w:style w:type="paragraph" w:styleId="TOC1">
    <w:name w:val="toc 1"/>
    <w:basedOn w:val="33contentschapter"/>
    <w:next w:val="Normal"/>
    <w:pPr>
      <w:tabs>
        <w:tab w:val="clear" w:pos="360"/>
        <w:tab w:val="right" w:pos="8640" w:leader="none"/>
      </w:tabs>
      <w:ind w:hanging="360" w:start="2520" w:end="1440"/>
    </w:pPr>
    <w:rPr/>
  </w:style>
  <w:style w:type="paragraph" w:styleId="TOC2">
    <w:name w:val="toc 2"/>
    <w:basedOn w:val="35contentssubject"/>
    <w:next w:val="Normal"/>
    <w:pPr>
      <w:tabs>
        <w:tab w:val="clear" w:pos="720"/>
        <w:tab w:val="right" w:pos="8640" w:leader="none"/>
      </w:tabs>
      <w:ind w:hanging="0" w:start="2520" w:end="1440"/>
    </w:pPr>
    <w:rPr/>
  </w:style>
  <w:style w:type="paragraph" w:styleId="TOC3">
    <w:name w:val="toc 3"/>
    <w:basedOn w:val="TOC2"/>
    <w:next w:val="Normal"/>
    <w:pPr>
      <w:ind w:hanging="0" w:start="2880" w:end="1440"/>
    </w:pPr>
    <w:rPr/>
  </w:style>
  <w:style w:type="paragraph" w:styleId="TOC4">
    <w:name w:val="toc 4"/>
    <w:basedOn w:val="Normal"/>
    <w:next w:val="Normal"/>
    <w:pPr>
      <w:tabs>
        <w:tab w:val="clear" w:pos="720"/>
        <w:tab w:val="right" w:pos="8309" w:leader="dot"/>
      </w:tabs>
      <w:ind w:hanging="0" w:start="720" w:end="0"/>
    </w:pPr>
    <w:rPr/>
  </w:style>
  <w:style w:type="paragraph" w:styleId="TOC5">
    <w:name w:val="toc 5"/>
    <w:basedOn w:val="Normal"/>
    <w:next w:val="Normal"/>
    <w:pPr>
      <w:tabs>
        <w:tab w:val="clear" w:pos="720"/>
        <w:tab w:val="right" w:pos="8309" w:leader="dot"/>
      </w:tabs>
      <w:ind w:hanging="0" w:start="960" w:end="0"/>
    </w:pPr>
    <w:rPr/>
  </w:style>
  <w:style w:type="paragraph" w:styleId="TOC6">
    <w:name w:val="toc 6"/>
    <w:basedOn w:val="Normal"/>
    <w:next w:val="Normal"/>
    <w:pPr>
      <w:tabs>
        <w:tab w:val="clear" w:pos="720"/>
        <w:tab w:val="right" w:pos="8309" w:leader="dot"/>
      </w:tabs>
      <w:ind w:hanging="0" w:start="1200" w:end="0"/>
    </w:pPr>
    <w:rPr/>
  </w:style>
  <w:style w:type="paragraph" w:styleId="TOC7">
    <w:name w:val="toc 7"/>
    <w:basedOn w:val="Normal"/>
    <w:next w:val="Normal"/>
    <w:pPr>
      <w:tabs>
        <w:tab w:val="clear" w:pos="720"/>
        <w:tab w:val="right" w:pos="8309" w:leader="dot"/>
      </w:tabs>
      <w:ind w:hanging="0" w:start="1440" w:end="0"/>
    </w:pPr>
    <w:rPr/>
  </w:style>
  <w:style w:type="paragraph" w:styleId="TOC8">
    <w:name w:val="toc 8"/>
    <w:basedOn w:val="Normal"/>
    <w:next w:val="Normal"/>
    <w:pPr>
      <w:tabs>
        <w:tab w:val="clear" w:pos="720"/>
        <w:tab w:val="right" w:pos="8309" w:leader="dot"/>
      </w:tabs>
      <w:ind w:hanging="0" w:start="1680" w:end="0"/>
    </w:pPr>
    <w:rPr/>
  </w:style>
  <w:style w:type="paragraph" w:styleId="TOC9">
    <w:name w:val="toc 9"/>
    <w:basedOn w:val="Normal"/>
    <w:next w:val="Normal"/>
    <w:pPr>
      <w:tabs>
        <w:tab w:val="clear" w:pos="720"/>
        <w:tab w:val="right" w:pos="8309" w:leader="dot"/>
      </w:tabs>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Vertical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2001-04-09T19:59:00Z</dcterms:created>
  <dc:creator>McKinsey User</dc:creator>
  <dc:description/>
  <dc:language>en-CA</dc:language>
  <cp:lastModifiedBy>valeriep</cp:lastModifiedBy>
  <cp:lastPrinted>2001-04-09T18:29:00Z</cp:lastPrinted>
  <dcterms:modified xsi:type="dcterms:W3CDTF">2001-04-09T19:59:00Z</dcterms:modified>
  <cp:revision>2</cp:revision>
  <dc:subject/>
  <dc:title>CONFIDENTIAL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IsPath">
    <vt:bool>1</vt:bool>
  </property>
  <property fmtid="{D5CDD505-2E9C-101B-9397-08002B2CF9AE}" pid="3" name="DocIDPos">
    <vt:lpwstr>TR</vt:lpwstr>
  </property>
  <property fmtid="{D5CDD505-2E9C-101B-9397-08002B2CF9AE}" pid="4" name="DocIDinText">
    <vt:bool>1</vt:bool>
  </property>
  <property fmtid="{D5CDD505-2E9C-101B-9397-08002B2CF9AE}" pid="5" name="DocIDinTitle">
    <vt:bool>1</vt:bool>
  </property>
</Properties>
</file>