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20" w:after="240"/>
        <w:ind w:hanging="544" w:start="544" w:end="1077"/>
        <w:rPr/>
      </w:pPr>
      <w:r>
        <w:rPr/>
        <w:t>SEC Panel:  Value Creation in the New Economy</w:t>
      </w:r>
    </w:p>
    <w:p>
      <w:pPr>
        <w:pStyle w:val="Normal"/>
        <w:rPr/>
      </w:pPr>
      <w:r>
        <w:rPr>
          <w:i/>
        </w:rPr>
        <w:t>Working Paper – April 10,2000</w:t>
      </w:r>
      <w:r>
        <w:rPr>
          <w:rStyle w:val="FootnoteCharacters"/>
          <w:rStyle w:val="FootnoteReference"/>
          <w:rFonts w:eastAsia="Symbol" w:cs="Symbol" w:ascii="Symbol" w:hAnsi="Symbol"/>
        </w:rPr>
        <w:footnoteReference w:customMarkFollows="1" w:id="2"/>
        <w:t></w:t>
      </w:r>
    </w:p>
    <w:p>
      <w:pPr>
        <w:pStyle w:val="Normal"/>
        <w:rPr/>
      </w:pPr>
      <w:r>
        <w:rPr/>
        <w:t>[</w:t>
      </w:r>
      <w:r>
        <w:rPr>
          <w:i/>
        </w:rPr>
        <w:t>To members of the panel:  We anticipate producing a short paper, about 10-20 pages plus annexes, that summarizes our views.   The process for developing this paper will be to use this incomplete draft as a starting point for our discussions.  We will modify and improve the draft through consultations with the panel members.  We also expect to get input from other experts outside the panel.  This draft is purposely written in a conclusion oriented style to solicit as sharp and specific points of view as possible</w:t>
      </w:r>
      <w:r>
        <w:rPr/>
        <w:t>.]</w:t>
      </w:r>
    </w:p>
    <w:p>
      <w:pPr>
        <w:pStyle w:val="Heading2"/>
        <w:ind w:hanging="0" w:start="0"/>
        <w:rPr/>
      </w:pPr>
      <w:r>
        <w:rPr/>
        <w:t>Introduction</w:t>
      </w:r>
    </w:p>
    <w:p>
      <w:pPr>
        <w:pStyle w:val="Normal"/>
        <w:rPr/>
      </w:pPr>
      <w:r>
        <w:rPr/>
        <w:t>SEC Chairman Arthur Levitt has asked this panel to assess the capital market’s understanding of the recent changes in the economy attributable to technology innovation and globalization.  The panel was asked whether the investment community and the financial markets can adequately assess the values of companies based on the information currently made available to the marketplace.  Further, if the information needs of the market are not being met, what changes should be considered to help meet those needs?</w:t>
      </w:r>
    </w:p>
    <w:p>
      <w:pPr>
        <w:pStyle w:val="Normal"/>
        <w:rPr/>
      </w:pPr>
      <w:r>
        <w:rPr/>
        <w:t>The panel was asked specifically not to address technical accounting issues, such as rules related to business combinations, revenue recognition principles, accounting for employee stock options, and other such issues that are being debated in other forums.  The panel is also not addressing the current high levels of volatility in the stock markets or whether the markets are experiencing a bubble.</w:t>
      </w:r>
    </w:p>
    <w:p>
      <w:pPr>
        <w:pStyle w:val="Normal"/>
        <w:rPr/>
      </w:pPr>
      <w:r>
        <w:rPr/>
        <w:t>While all successful companies have already or will embrace internet related technologies, this document will focus primarily on the issues involved in valuing newer companies growing at very high rates, without an earnings track record and where there is substantial uncertainty about the success of their business model.</w:t>
      </w:r>
    </w:p>
    <w:p>
      <w:pPr>
        <w:pStyle w:val="Heading2"/>
        <w:ind w:hanging="0" w:start="0"/>
        <w:rPr/>
      </w:pPr>
      <w:r>
        <w:rPr/>
        <w:t>glossary</w:t>
      </w:r>
    </w:p>
    <w:p>
      <w:pPr>
        <w:pStyle w:val="Normal"/>
        <w:rPr/>
      </w:pPr>
      <w:r>
        <w:rPr/>
        <w:t>[</w:t>
      </w:r>
      <w:r>
        <w:rPr>
          <w:i/>
        </w:rPr>
        <w:t>We will add a clear explanation up front of the terms used in the paper, such as “new economy”, “internet company”, etc</w:t>
      </w:r>
      <w:r>
        <w:rPr/>
        <w:t>.]</w:t>
      </w:r>
    </w:p>
    <w:p>
      <w:pPr>
        <w:pStyle w:val="Heading2"/>
        <w:ind w:hanging="0" w:start="0"/>
        <w:rPr/>
      </w:pPr>
      <w:r>
        <w:rPr/>
        <w:t>summary conclusions</w:t>
      </w:r>
    </w:p>
    <w:p>
      <w:pPr>
        <w:pStyle w:val="Normal"/>
        <w:rPr/>
      </w:pPr>
      <w:r>
        <w:rPr/>
        <w:t>The working hypothesis, for discussion purposes, is that companies and investors have, for the most part, responded effectively to the challenges of valuing companies with limited financial histories and new, untested business models.  However, there are a number of improvements that we would recommend.  Our analysis and recommendations follow:</w:t>
      </w:r>
    </w:p>
    <w:p>
      <w:pPr>
        <w:pStyle w:val="01parapoint"/>
        <w:numPr>
          <w:ilvl w:val="0"/>
          <w:numId w:val="13"/>
        </w:numPr>
        <w:ind w:hanging="0" w:start="0"/>
        <w:rPr/>
      </w:pPr>
      <w:r>
        <w:rPr/>
        <w:t>We are living in a time of extraordinary technological change and rapid creation of new products and markets.  In addition, some of these new markets are characterized by massive scalability and network effects.  The combination of new products, new markets, scalability, and network effects implies tremendous potential for value creation.</w:t>
      </w:r>
    </w:p>
    <w:p>
      <w:pPr>
        <w:pStyle w:val="01parapoint"/>
        <w:numPr>
          <w:ilvl w:val="0"/>
          <w:numId w:val="13"/>
        </w:numPr>
        <w:ind w:hanging="0" w:start="0"/>
        <w:rPr/>
      </w:pPr>
      <w:r>
        <w:rPr/>
        <w:t>At the same time, there is high uncertainty about which business models, companies, and industries will capture a large share of the value for their shareholders.  As in the past, many will fail all together, and many survivors will pass on most of the benefits of the new products and markets to consumers.</w:t>
      </w:r>
    </w:p>
    <w:p>
      <w:pPr>
        <w:pStyle w:val="01parapoint"/>
        <w:numPr>
          <w:ilvl w:val="0"/>
          <w:numId w:val="13"/>
        </w:numPr>
        <w:ind w:hanging="0" w:start="0"/>
        <w:rPr/>
      </w:pPr>
      <w:r>
        <w:rPr/>
        <w:t xml:space="preserve">Valuing companies in this environment is extremely difficult, but that does not necessarily imply that the fundamental principles of valuation have changed.  Over time, a company’s value is still driven by its perceived potential to generate profits and cash flow over the long term.  What has changed, however, is that for many more companies, the stock market is willing to give credit for or “capitalize” the value of intangible assets (such as brands, first mover advantages, or unique capabilities) on the assumption that these intangibles will eventually be realized in profits and cash flows. </w:t>
      </w:r>
    </w:p>
    <w:p>
      <w:pPr>
        <w:pStyle w:val="01parapoint"/>
        <w:numPr>
          <w:ilvl w:val="0"/>
          <w:numId w:val="13"/>
        </w:numPr>
        <w:ind w:hanging="0" w:start="0"/>
        <w:rPr/>
      </w:pPr>
      <w:r>
        <w:rPr/>
        <w:t>In this uncertain environment, historical financial performance is a less relevant indicator of a company’s ability to create value in the future.  In response, investors have focused their attention on key operating and strategic indicators and qualitative factors that they believe will differentiate winning and losing companies.  The companies themselves have voluntarily provided important non-financial information to help investors assess the their value.</w:t>
      </w:r>
    </w:p>
    <w:p>
      <w:pPr>
        <w:pStyle w:val="01parapoint"/>
        <w:numPr>
          <w:ilvl w:val="0"/>
          <w:numId w:val="13"/>
        </w:numPr>
        <w:ind w:hanging="0" w:start="0"/>
        <w:rPr>
          <w:i/>
          <w:i/>
        </w:rPr>
      </w:pPr>
      <w:r>
        <w:rPr/>
        <w:t>We expect and encourage managers and investors to continue the search for innovative information that will help the capital market improve their valuations. Furthermore, we recognize that the rapid evolution of the best techniques and the diversity of relevant measures across industries makes it difficult to proscribe specific measures that would be useful to investors.  However, we do believe that steps can be taken to improve the quality of information provided to investors in terms of timeliness and frequency, uniformity, user friendliness, and verifiability.  [</w:t>
      </w:r>
      <w:r>
        <w:rPr>
          <w:i/>
        </w:rPr>
        <w:t>This list and the details behind it will be based on the input of the panel members and other experts</w:t>
      </w:r>
      <w:r>
        <w:rPr/>
        <w:t xml:space="preserve">.] </w:t>
      </w:r>
    </w:p>
    <w:p>
      <w:pPr>
        <w:pStyle w:val="Normal"/>
        <w:rPr/>
      </w:pPr>
      <w:r>
        <w:rPr/>
        <w:t>Although we are recommending improvements in the information provided to investors, we recognize that the underlying uncertainty about how these new markets and companies will develop will not go away.  Consequently, we expect continued high volatility in the shares of these companies for some time.</w:t>
      </w:r>
    </w:p>
    <w:p>
      <w:pPr>
        <w:pStyle w:val="Heading2"/>
        <w:ind w:hanging="0" w:start="0"/>
        <w:rPr/>
      </w:pPr>
      <w:r>
        <w:rPr/>
        <w:t xml:space="preserve">extraordinary technological change </w:t>
      </w:r>
    </w:p>
    <w:p>
      <w:pPr>
        <w:pStyle w:val="Normal"/>
        <w:rPr/>
      </w:pPr>
      <w:r>
        <w:rPr/>
        <w:t>While the world economy has experienced many technological revolutions over the years, the current wave of innovation centered around the internet and advances in computing and telecommunications has at least three critical dimensions:</w:t>
      </w:r>
    </w:p>
    <w:p>
      <w:pPr>
        <w:pStyle w:val="01parapoint"/>
        <w:numPr>
          <w:ilvl w:val="0"/>
          <w:numId w:val="13"/>
        </w:numPr>
        <w:ind w:hanging="0" w:start="0"/>
        <w:rPr/>
      </w:pPr>
      <w:r>
        <w:rPr/>
        <w:t>The pace of technology development and diffusion is much faster than in the past.  This has resulted in the creation of new markets and new business models at lightning speed.  [</w:t>
      </w:r>
      <w:r>
        <w:rPr>
          <w:i/>
        </w:rPr>
        <w:t>Examples to come</w:t>
      </w:r>
      <w:r>
        <w:rPr/>
        <w:t>.]</w:t>
      </w:r>
    </w:p>
    <w:p>
      <w:pPr>
        <w:pStyle w:val="01parapoint"/>
        <w:numPr>
          <w:ilvl w:val="0"/>
          <w:numId w:val="13"/>
        </w:numPr>
        <w:ind w:hanging="0" w:start="0"/>
        <w:rPr/>
      </w:pPr>
      <w:r>
        <w:rPr/>
        <w:t>The new technologies affect most sectors in the economy at the same time in fundamental ways.   This has led to rapidly changing competitive dynamics and the rapid creation of winners and losers. [</w:t>
      </w:r>
      <w:r>
        <w:rPr>
          <w:i/>
        </w:rPr>
        <w:t>Examples to come</w:t>
      </w:r>
      <w:r>
        <w:rPr/>
        <w:t>.]</w:t>
      </w:r>
    </w:p>
    <w:p>
      <w:pPr>
        <w:pStyle w:val="01parapoint"/>
        <w:numPr>
          <w:ilvl w:val="0"/>
          <w:numId w:val="13"/>
        </w:numPr>
        <w:ind w:hanging="0" w:start="0"/>
        <w:rPr/>
      </w:pPr>
      <w:r>
        <w:rPr/>
        <w:t>In some sectors of the economy, new technologies are generating more opportunities to create natural monopolies due to either network effects, business scalability, or both. [</w:t>
      </w:r>
      <w:r>
        <w:rPr>
          <w:i/>
        </w:rPr>
        <w:t>Examples to come</w:t>
      </w:r>
      <w:r>
        <w:rPr/>
        <w:t>.]</w:t>
      </w:r>
    </w:p>
    <w:p>
      <w:pPr>
        <w:pStyle w:val="Normal"/>
        <w:rPr/>
      </w:pPr>
      <w:r>
        <w:rPr/>
        <w:t>The opportunities for value creation are so large that the capital markets have been willing to place very high values on companies with no track record or earnings history, only the potential to strike gold.  As a result, an unprecedented number of companies have been financed by the capital markets at earlier stages in their lives, rather than by venture capitalists and other private investors.  The willingness of the capital markets to finance these businesses has, in turn, also accelerated their growth. [</w:t>
      </w:r>
      <w:r>
        <w:rPr>
          <w:i/>
        </w:rPr>
        <w:t>Examples to come</w:t>
      </w:r>
      <w:r>
        <w:rPr/>
        <w:t>.]</w:t>
      </w:r>
    </w:p>
    <w:p>
      <w:pPr>
        <w:pStyle w:val="Normal"/>
        <w:jc w:val="both"/>
        <w:rPr/>
      </w:pPr>
      <w:r>
        <w:rPr/>
        <w:t>The economics of network effects and business scalability will play such an important role in the new economy that they deserve further elaboration.  [</w:t>
      </w:r>
      <w:r>
        <w:rPr>
          <w:i/>
        </w:rPr>
        <w:t>We will insert a substantive discussion of these topics here.  Also discuss counter effects such as the atomization and deverticalization of markets.</w:t>
      </w:r>
      <w:r>
        <w:rPr/>
        <w:t>]</w:t>
      </w:r>
    </w:p>
    <w:p>
      <w:pPr>
        <w:pStyle w:val="Heading2"/>
        <w:ind w:hanging="0" w:start="0"/>
        <w:rPr/>
      </w:pPr>
      <w:r>
        <w:rPr/>
        <w:t>high uncertainty</w:t>
      </w:r>
    </w:p>
    <w:p>
      <w:pPr>
        <w:pStyle w:val="Normal"/>
        <w:rPr/>
      </w:pPr>
      <w:r>
        <w:rPr/>
        <w:t>There is no doubt that these new products and markets will create substantial value for the economy.  However, uncertainty about core economic factors (such as continued rapid technological changes and unpredictable consumer behavior) means that the important economic outcomes are also highly uncertain.  Specifically, uncertainty is likely to remain high for some time about (1) how much value will companies ultimately pass on to consumers rather than being retained for shareholders, and (2) which companies will be the winners and which will be the losers.</w:t>
      </w:r>
    </w:p>
    <w:p>
      <w:pPr>
        <w:pStyle w:val="Normal"/>
        <w:rPr/>
      </w:pPr>
      <w:r>
        <w:rPr/>
        <w:t>The tools of economic analysis (particularly network effects and scalability) can help us to narrow the range of likely outcomes but substantial uncertainty remains.  Consider a business-to-business marketplace such as chemicals or a similar commodity. Network effects will likely drive towards one dominant marketplace for the sector (or perhaps for certain subsectors).  However, there remains a high level of uncertainty about which company will win this market.  Technology and a first mover advantage are not all that matter in such a market.  In this type of market, getting the support of the market participants who provide liquidity to the market may be the most important thing.  It may also be possible for the market participants to extract most of the value and not the new companies trying to set up the markets.</w:t>
      </w:r>
    </w:p>
    <w:p>
      <w:pPr>
        <w:pStyle w:val="Normal"/>
        <w:rPr/>
      </w:pPr>
      <w:r>
        <w:rPr/>
        <w:t>Continued rapid technology change can turn successful business models obsolete overnight.  For example, AOL had to pay a tremendous premium (and drop in its own share price) to purchase Time-Warner to get into broadband</w:t>
      </w:r>
      <w:r>
        <w:rPr>
          <w:i/>
        </w:rPr>
        <w:t>.</w:t>
      </w:r>
      <w:r>
        <w:rPr/>
        <w:t xml:space="preserve">  [</w:t>
      </w:r>
      <w:r>
        <w:rPr>
          <w:i/>
        </w:rPr>
        <w:t>Will elaborate.</w:t>
      </w:r>
      <w:r>
        <w:rPr/>
        <w:t>]</w:t>
      </w:r>
    </w:p>
    <w:p>
      <w:pPr>
        <w:pStyle w:val="Normal"/>
        <w:rPr/>
      </w:pPr>
      <w:r>
        <w:rPr/>
        <w:t>Consumer behavior also continues to be unpredictable.  For example, will consumers prefer to shop in virtual malls or will they prefer specialist retailers or is there room for both?  Will companies like Amazon.com, then be confined to a relatively narrow target market, or can they successfully become a broad based retailer like Walmart is in the physical world?  On one hand, the internet favors companies who can develop strong brands and build customer relationships.  On the other hand, the internet also makes it easy for the consumer to find the best specialist retailer for any product or service or to bypass the retailer completely and go directly to the producer.</w:t>
      </w:r>
    </w:p>
    <w:p>
      <w:pPr>
        <w:pStyle w:val="Normal"/>
        <w:rPr/>
      </w:pPr>
      <w:r>
        <w:rPr/>
        <w:t>[</w:t>
      </w:r>
      <w:r>
        <w:rPr>
          <w:i/>
        </w:rPr>
        <w:t>We will elaborate on the factors that will drive different market segments to different competitive outcomes and may develop some likely outcomes, such as:</w:t>
      </w:r>
    </w:p>
    <w:p>
      <w:pPr>
        <w:pStyle w:val="02bullet"/>
        <w:numPr>
          <w:ilvl w:val="0"/>
          <w:numId w:val="14"/>
        </w:numPr>
        <w:ind w:hanging="0" w:start="0"/>
        <w:rPr>
          <w:i/>
          <w:i/>
        </w:rPr>
      </w:pPr>
      <w:r>
        <w:rPr>
          <w:i/>
        </w:rPr>
        <w:t>A few markets will be “winner take all” although most of these will be small niche due to the atomization of markets (very few Microsofts)</w:t>
      </w:r>
    </w:p>
    <w:p>
      <w:pPr>
        <w:pStyle w:val="02bullet"/>
        <w:numPr>
          <w:ilvl w:val="0"/>
          <w:numId w:val="14"/>
        </w:numPr>
        <w:ind w:hanging="0" w:start="0"/>
        <w:rPr>
          <w:i/>
          <w:i/>
        </w:rPr>
      </w:pPr>
      <w:r>
        <w:rPr>
          <w:i/>
        </w:rPr>
        <w:t>Some markets will provide attractive, though not huge, returns for the best players</w:t>
      </w:r>
    </w:p>
    <w:p>
      <w:pPr>
        <w:pStyle w:val="02bullet"/>
        <w:numPr>
          <w:ilvl w:val="0"/>
          <w:numId w:val="14"/>
        </w:numPr>
        <w:ind w:hanging="0" w:start="0"/>
        <w:rPr>
          <w:i/>
          <w:i/>
        </w:rPr>
      </w:pPr>
      <w:r>
        <w:rPr>
          <w:i/>
        </w:rPr>
        <w:t>Many markets will be highly competitive, with most of the value creation being passed on to consumers.</w:t>
      </w:r>
      <w:r>
        <w:rPr/>
        <w:t>]</w:t>
      </w:r>
    </w:p>
    <w:p>
      <w:pPr>
        <w:pStyle w:val="Heading2"/>
        <w:ind w:hanging="0" w:start="0"/>
        <w:rPr/>
      </w:pPr>
      <w:r>
        <w:rPr/>
        <w:t>fundamental approach to value unchanged</w:t>
      </w:r>
    </w:p>
    <w:p>
      <w:pPr>
        <w:pStyle w:val="Normal"/>
        <w:rPr/>
      </w:pPr>
      <w:r>
        <w:rPr/>
        <w:t>Under the current conditions of high uncertainty and with no historical performance benchmarks to fall back on, valuation is extraordinarily difficult and imprecise.  That does not mean, however, that the fundamental economic principles of valuation have changed.  A company’s value is still driven by its perceived potential to generate profits and cash flow over the long term.</w:t>
      </w:r>
    </w:p>
    <w:p>
      <w:pPr>
        <w:pStyle w:val="Normal"/>
        <w:rPr/>
      </w:pPr>
      <w:r>
        <w:rPr/>
        <w:t>We recognize that some would argue that the values of companies have become divorced from fundamental values.  Three common arguments that this divorce has taken place are linked to the following explanations [</w:t>
      </w:r>
      <w:r>
        <w:rPr>
          <w:i/>
        </w:rPr>
        <w:t>These will be further developed</w:t>
      </w:r>
      <w:r>
        <w:rPr/>
        <w:t>]:</w:t>
      </w:r>
    </w:p>
    <w:p>
      <w:pPr>
        <w:pStyle w:val="01parapoint"/>
        <w:numPr>
          <w:ilvl w:val="0"/>
          <w:numId w:val="13"/>
        </w:numPr>
        <w:ind w:hanging="0" w:start="0"/>
        <w:rPr/>
      </w:pPr>
      <w:r>
        <w:rPr/>
        <w:t>Momentum trading strategies (</w:t>
      </w:r>
      <w:r>
        <w:rPr>
          <w:i/>
        </w:rPr>
        <w:t>brief summary and reference</w:t>
      </w:r>
      <w:r>
        <w:rPr/>
        <w:t>)</w:t>
      </w:r>
    </w:p>
    <w:p>
      <w:pPr>
        <w:pStyle w:val="01parapoint"/>
        <w:numPr>
          <w:ilvl w:val="0"/>
          <w:numId w:val="13"/>
        </w:numPr>
        <w:ind w:hanging="0" w:start="0"/>
        <w:rPr/>
      </w:pPr>
      <w:r>
        <w:rPr/>
        <w:t>Supply/demand imbalance for sought after shares (</w:t>
      </w:r>
      <w:r>
        <w:rPr>
          <w:i/>
        </w:rPr>
        <w:t>brief summary and reference</w:t>
      </w:r>
      <w:r>
        <w:rPr/>
        <w:t>)</w:t>
      </w:r>
    </w:p>
    <w:p>
      <w:pPr>
        <w:pStyle w:val="01parapoint"/>
        <w:numPr>
          <w:ilvl w:val="0"/>
          <w:numId w:val="13"/>
        </w:numPr>
        <w:ind w:hanging="0" w:start="0"/>
        <w:rPr/>
      </w:pPr>
      <w:r>
        <w:rPr/>
        <w:t>Market psychology effects (</w:t>
      </w:r>
      <w:r>
        <w:rPr>
          <w:i/>
        </w:rPr>
        <w:t>brief summary and reference</w:t>
      </w:r>
      <w:r>
        <w:rPr/>
        <w:t>)</w:t>
      </w:r>
    </w:p>
    <w:p>
      <w:pPr>
        <w:pStyle w:val="Normal"/>
        <w:rPr/>
      </w:pPr>
      <w:r>
        <w:rPr/>
        <w:t>While these factors undoubtedly play some role in valuation, there is reason to doubt that the values of most internet companies bear no relation to economic fundamentals.  While impossible to demonstrate statistically, some examples can shed light on the valuation of these new companies.</w:t>
      </w:r>
    </w:p>
    <w:p>
      <w:pPr>
        <w:pStyle w:val="Normal"/>
        <w:rPr/>
      </w:pPr>
      <w:r>
        <w:rPr/>
        <w:t>One approach is to look at what you would have to believe about the future in order to justify the value of a particular company.  Take Amazon.com for example, Amazon’s current market capitalization is about $20-25 billion, despite no current or historical earnings.  What would you have to believe to justify that value.  If Amazon could reach $45 billion in revenues by 2010 and earn an operating profit margin of about 10%, a value of in the range of $20-25 billion would be consistent with its long term earnings and cash flow.  We obviously can’t predict whether Amazon can achieve such a performance level.  But given its commanding lead in internet retailing, the size of the markets it is pursuing, its strong brand name (recognized by x% of Americans in1999), and its ability to build customer loyalty, a reasonable case can be made that Amazon could meet and even exceed this required performance.</w:t>
      </w:r>
    </w:p>
    <w:p>
      <w:pPr>
        <w:pStyle w:val="01parapoint"/>
        <w:numPr>
          <w:ilvl w:val="0"/>
          <w:numId w:val="0"/>
        </w:numPr>
        <w:ind w:hanging="0" w:start="0"/>
        <w:rPr/>
      </w:pPr>
      <w:r>
        <w:rPr/>
        <w:t>[</w:t>
      </w:r>
      <w:r>
        <w:rPr>
          <w:i/>
        </w:rPr>
        <w:t>Here we will add additional evidence both supporting and contradicting this point of view</w:t>
      </w:r>
      <w:r>
        <w:rPr/>
        <w:t>.]</w:t>
      </w:r>
    </w:p>
    <w:p>
      <w:pPr>
        <w:pStyle w:val="01parapoint"/>
        <w:numPr>
          <w:ilvl w:val="0"/>
          <w:numId w:val="0"/>
        </w:numPr>
        <w:ind w:hanging="0" w:start="0"/>
        <w:rPr/>
      </w:pPr>
      <w:r>
        <w:rPr/>
        <w:t>[</w:t>
      </w:r>
      <w:r>
        <w:rPr>
          <w:i/>
        </w:rPr>
        <w:t>There has been a significant amount of discussion about intangible assets and their valuation.  We will insert a discussion of how intangibles are reflected in the values of companies.  Our basic point will be that the market gives credit for or “capitalizes” intangibles on the assumption that these intangibles will eventually be realized in profits and cash flows</w:t>
      </w:r>
      <w:r>
        <w:rPr/>
        <w:t xml:space="preserve">.  </w:t>
      </w:r>
      <w:r>
        <w:rPr>
          <w:i/>
        </w:rPr>
        <w:t>We need to be clear, however, that the market values the earnings and cash flow potential generate by the intangibles, not the intangibles themselves</w:t>
      </w:r>
      <w:r>
        <w:rPr/>
        <w:t>.]</w:t>
      </w:r>
    </w:p>
    <w:p>
      <w:pPr>
        <w:pStyle w:val="Heading2"/>
        <w:ind w:hanging="0" w:start="0"/>
        <w:rPr/>
      </w:pPr>
      <w:r>
        <w:rPr/>
        <w:t>The market and companies have responded to the need for new types of information</w:t>
      </w:r>
    </w:p>
    <w:p>
      <w:pPr>
        <w:pStyle w:val="Normal"/>
        <w:rPr/>
      </w:pPr>
      <w:r>
        <w:rPr/>
        <w:t>The market has asked for and companies have responded with new types of information to facilitate company valuation.  In this section, we describe why investors need new information to value internet companies and provide examples of the types of new information that companies are providing and investors are using.</w:t>
      </w:r>
    </w:p>
    <w:p>
      <w:pPr>
        <w:pStyle w:val="Normal"/>
        <w:rPr/>
      </w:pPr>
      <w:r>
        <w:rPr/>
        <w:t>It used to be that historical financial performance provided a strong indication of future financial performance.  Investors could build their expectations off of historical financial performance, supplemented by information about the quality of management and the future competitive landscape of the industry.  The financial statements of newly emerging companies, however, provide little guidance about their long-term potential.  Investors must look for other clues to help assess the future prospects of companies.  While non-financial measures have always been used by investors, their importance has been magnified by the reduced relevance of financial statements.</w:t>
      </w:r>
    </w:p>
    <w:p>
      <w:pPr>
        <w:pStyle w:val="Normal"/>
        <w:rPr/>
      </w:pPr>
      <w:r>
        <w:rPr/>
        <w:t>The evidence is quite clear for traditional companies that the stock markets have looked at both historical financial performance and non-financial clues about future performance.  For example, the companies with higher growth and higher returns on capital are valued more highly than low growth, low return companies [</w:t>
      </w:r>
      <w:r>
        <w:rPr>
          <w:i/>
        </w:rPr>
        <w:t>exhibit to support</w:t>
      </w:r>
      <w:r>
        <w:rPr/>
        <w:t>].  Yet it is also clear that the market constantly looks for clues about future performance.  You just need to look at how much energy pharmaceutical stock analysts put into analyzing the drug pipelines and product development and launch capabilities of pharmaceutical companies and how that gets reflected in wildly different PE ratios across pharmaceutical companies.  [</w:t>
      </w:r>
      <w:r>
        <w:rPr>
          <w:i/>
        </w:rPr>
        <w:t>One more example</w:t>
      </w:r>
      <w:r>
        <w:rPr/>
        <w:t>]</w:t>
      </w:r>
    </w:p>
    <w:p>
      <w:pPr>
        <w:pStyle w:val="Normal"/>
        <w:rPr/>
      </w:pPr>
      <w:r>
        <w:rPr/>
        <w:t>Comparing internet companies to traditional companies, the relative importance of the different types of information is radically different.  More sophisticated investors, in particular, search for operating metrics (web page hits, the conversion ratio from hits to purchases) for clues about which business models are likely to succeed.  Companies have responded by voluntarily providing important non-financial information to help investors assess the company’s value.</w:t>
      </w:r>
    </w:p>
    <w:p>
      <w:pPr>
        <w:pStyle w:val="Normal"/>
        <w:rPr/>
      </w:pPr>
      <w:r>
        <w:rPr/>
        <w:t>For example, with its quarterly results, Amazon.com releases figures for how many new customers it has added, number of unique visitors, what percent of customers were repeat buyers, how many new “stores” it opened, and what new partnerships it has formed.  E-bay, the on-line auction house, releases figures for total transaction volume, number of auctions hosted, and average transaction size.  E-trade, the on-line broker, releases figures for new accounts, acquisition costs per account, average number of transactions per day, page views, size of assets held in customer accounts.</w:t>
      </w:r>
    </w:p>
    <w:p>
      <w:pPr>
        <w:pStyle w:val="Normal"/>
        <w:rPr/>
      </w:pPr>
      <w:r>
        <w:rPr/>
        <w:t>Equity analysts also talk extensively about these and other metrics.  For example, [</w:t>
      </w:r>
      <w:r>
        <w:rPr>
          <w:i/>
        </w:rPr>
        <w:t>to come</w:t>
      </w:r>
      <w:r>
        <w:rPr/>
        <w:t>].</w:t>
      </w:r>
    </w:p>
    <w:p>
      <w:pPr>
        <w:pStyle w:val="Normal"/>
        <w:rPr/>
      </w:pPr>
      <w:r>
        <w:rPr/>
        <w:t>In fact, it might be the case that the information asymmetry between managers and investors for internet stocks is less than for traditional companies.  Several factors lead to this lower information asymmetry:</w:t>
      </w:r>
    </w:p>
    <w:p>
      <w:pPr>
        <w:pStyle w:val="01parapoint"/>
        <w:numPr>
          <w:ilvl w:val="0"/>
          <w:numId w:val="13"/>
        </w:numPr>
        <w:ind w:hanging="0" w:start="0"/>
        <w:rPr/>
      </w:pPr>
      <w:r>
        <w:rPr/>
        <w:t>First, managers of new companies themselves have limited knowledge of the future of their business.  The size of the markets, consumer adoption rates, and future competitive dynamics, are all highly unpredictable to managers as well as outsiders.</w:t>
      </w:r>
    </w:p>
    <w:p>
      <w:pPr>
        <w:pStyle w:val="01parapoint"/>
        <w:numPr>
          <w:ilvl w:val="0"/>
          <w:numId w:val="13"/>
        </w:numPr>
        <w:ind w:hanging="0" w:start="0"/>
        <w:rPr/>
      </w:pPr>
      <w:r>
        <w:rPr/>
        <w:t xml:space="preserve">Newer companies are typically more focused on narrow market segments so companywide operating statistics are useful performance benchmarks. </w:t>
      </w:r>
    </w:p>
    <w:p>
      <w:pPr>
        <w:pStyle w:val="01parapoint"/>
        <w:numPr>
          <w:ilvl w:val="0"/>
          <w:numId w:val="13"/>
        </w:numPr>
        <w:ind w:hanging="0" w:start="0"/>
        <w:rPr/>
      </w:pPr>
      <w:r>
        <w:rPr/>
        <w:t>Managers of new companies, particularly internet companies have strong incentives to get the highest market values for their companies by providing the market with what it wants, since a high market value is critical for making acquisitions with shares, attracting employees, and getting noticed by consumers.  On the contrary, the mindset of established companies has often been to avoid disclosing detailed performance information for fear of competitor reaction.</w:t>
      </w:r>
    </w:p>
    <w:p>
      <w:pPr>
        <w:pStyle w:val="Heading2"/>
        <w:ind w:hanging="0" w:start="0"/>
        <w:rPr/>
      </w:pPr>
      <w:r>
        <w:rPr/>
        <w:t xml:space="preserve">approaches to disclosure and reporting of non-financial information </w:t>
      </w:r>
    </w:p>
    <w:p>
      <w:pPr>
        <w:pStyle w:val="40address"/>
        <w:rPr/>
      </w:pPr>
      <w:r>
        <w:rPr/>
        <w:t>[</w:t>
      </w:r>
      <w:r>
        <w:rPr>
          <w:i/>
        </w:rPr>
        <w:t>As a panel, we should acknowledge the contemporary debate over the effectiveness of US GAAP and its limitations in measuring value creation.  However, we propose that the panel not take a view on technical accounting issues (such as accounting for intangibles, goodwill, employee stock options and revenue recognition) and focus our recommendations on non-financial information.  We should also not focus on the growing disclosure of risk factors in IPO prospectuses.</w:t>
      </w:r>
      <w:r>
        <w:rPr/>
        <w:t>]</w:t>
      </w:r>
    </w:p>
    <w:p>
      <w:pPr>
        <w:pStyle w:val="40address"/>
        <w:rPr/>
      </w:pPr>
      <w:r>
        <w:rPr/>
        <w:t xml:space="preserve">We expect and encourage managers and investors to continue the search for innovative information that will help the capital market improve the valuation of all companies.  Furthermore, we recognize that the rapid evolution of the best techniques and the diversity of relevant measures across industries makes it difficult to proscribe specific measures that would be useful to investors.  However, we do believe that steps can be taken to improve the quality of information provided to investors.  </w:t>
      </w:r>
    </w:p>
    <w:p>
      <w:pPr>
        <w:pStyle w:val="40address"/>
        <w:rPr/>
      </w:pPr>
      <w:r>
        <w:rPr/>
        <w:t>[</w:t>
      </w:r>
      <w:r>
        <w:rPr>
          <w:i/>
        </w:rPr>
        <w:t>At this point we would like to solicit the views of panel members and others and ultimately make recommendations on ways to improve information disclosures in the following ways:</w:t>
      </w:r>
    </w:p>
    <w:p>
      <w:pPr>
        <w:pStyle w:val="01parapoint"/>
        <w:numPr>
          <w:ilvl w:val="0"/>
          <w:numId w:val="13"/>
        </w:numPr>
        <w:ind w:hanging="0" w:start="0"/>
        <w:rPr>
          <w:i/>
          <w:i/>
        </w:rPr>
      </w:pPr>
      <w:r>
        <w:rPr>
          <w:i/>
        </w:rPr>
        <w:t>Timeliness and frequency</w:t>
      </w:r>
    </w:p>
    <w:p>
      <w:pPr>
        <w:pStyle w:val="01parapoint"/>
        <w:numPr>
          <w:ilvl w:val="0"/>
          <w:numId w:val="13"/>
        </w:numPr>
        <w:ind w:hanging="0" w:start="0"/>
        <w:rPr>
          <w:i/>
          <w:i/>
        </w:rPr>
      </w:pPr>
      <w:r>
        <w:rPr>
          <w:i/>
        </w:rPr>
        <w:t>Uniformity</w:t>
      </w:r>
    </w:p>
    <w:p>
      <w:pPr>
        <w:pStyle w:val="01parapoint"/>
        <w:numPr>
          <w:ilvl w:val="0"/>
          <w:numId w:val="13"/>
        </w:numPr>
        <w:ind w:hanging="0" w:start="0"/>
        <w:rPr>
          <w:i/>
          <w:i/>
        </w:rPr>
      </w:pPr>
      <w:r>
        <w:rPr>
          <w:i/>
        </w:rPr>
        <w:t>User friendliness</w:t>
      </w:r>
    </w:p>
    <w:p>
      <w:pPr>
        <w:pStyle w:val="01parapoint"/>
        <w:numPr>
          <w:ilvl w:val="0"/>
          <w:numId w:val="13"/>
        </w:numPr>
        <w:ind w:hanging="0" w:start="0"/>
        <w:rPr>
          <w:i/>
          <w:i/>
        </w:rPr>
      </w:pPr>
      <w:r>
        <w:rPr>
          <w:i/>
        </w:rPr>
        <w:t>Verifiability</w:t>
      </w:r>
    </w:p>
    <w:p>
      <w:pPr>
        <w:pStyle w:val="01parapoint"/>
        <w:numPr>
          <w:ilvl w:val="0"/>
          <w:numId w:val="13"/>
        </w:numPr>
        <w:ind w:hanging="0" w:start="0"/>
        <w:rPr>
          <w:i/>
          <w:i/>
        </w:rPr>
      </w:pPr>
      <w:r>
        <w:rPr>
          <w:i/>
        </w:rPr>
        <w:t>Forward looking</w:t>
      </w:r>
    </w:p>
    <w:p>
      <w:pPr>
        <w:pStyle w:val="01parapoint"/>
        <w:numPr>
          <w:ilvl w:val="0"/>
          <w:numId w:val="13"/>
        </w:numPr>
        <w:ind w:hanging="0" w:start="0"/>
        <w:rPr/>
      </w:pPr>
      <w:r>
        <w:rPr>
          <w:i/>
        </w:rPr>
        <w:t>Other</w:t>
      </w:r>
      <w:r>
        <w:rPr/>
        <w:t>]</w:t>
      </w:r>
    </w:p>
    <w:p>
      <w:pPr>
        <w:pStyle w:val="Normal"/>
        <w:rPr/>
      </w:pPr>
      <w:r>
        <w:rPr/>
      </w:r>
      <w:r>
        <w:br w:type="page"/>
      </w:r>
    </w:p>
    <w:p>
      <w:pPr>
        <w:pStyle w:val="Heading2"/>
        <w:ind w:hanging="0" w:start="0"/>
        <w:rPr/>
      </w:pPr>
      <w:r>
        <w:rPr/>
        <w:t>APPENDIX 1 – intangible assets and valuation</w:t>
      </w:r>
    </w:p>
    <w:p>
      <w:pPr>
        <w:pStyle w:val="Heading2"/>
        <w:ind w:hanging="0" w:start="0"/>
        <w:rPr/>
      </w:pPr>
      <w:r>
        <w:rPr/>
        <w:t>appendix 2 – summary of other perspectives</w:t>
      </w:r>
    </w:p>
    <w:p>
      <w:pPr>
        <w:pStyle w:val="Heading2"/>
        <w:spacing w:before="540" w:after="240"/>
        <w:ind w:hanging="0" w:start="0"/>
        <w:rPr/>
      </w:pPr>
      <w:r>
        <w:rPr/>
      </w:r>
    </w:p>
    <w:sectPr>
      <w:headerReference w:type="default" r:id="rId2"/>
      <w:footerReference w:type="default" r:id="rId3"/>
      <w:footnotePr>
        <w:numFmt w:val="decimal"/>
      </w:footnotePr>
      <w:type w:val="nextPage"/>
      <w:pgSz w:w="12240" w:h="15840"/>
      <w:pgMar w:left="2013" w:right="1253" w:gutter="0" w:header="907" w:top="1440" w:footer="1531" w:bottom="20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9</w:t>
    </w:r>
    <w:r>
      <w:rPr/>
      <w:fldChar w:fldCharType="end"/>
    </w:r>
    <w:r>
      <mc:AlternateContent>
        <mc:Choice Requires="wps">
          <w:drawing>
            <wp:anchor behindDoc="0" distT="114300" distB="114300" distL="114300" distR="114300" simplePos="0" locked="0" layoutInCell="0" allowOverlap="1" relativeHeight="10">
              <wp:simplePos x="0" y="0"/>
              <wp:positionH relativeFrom="page">
                <wp:posOffset>457835</wp:posOffset>
              </wp:positionH>
              <wp:positionV relativeFrom="page">
                <wp:posOffset>10150475</wp:posOffset>
              </wp:positionV>
              <wp:extent cx="1460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20955"/>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/mnt/main-storage/datasets/enron-docs/doc/SEC_Panel_Outline_10Apr00.doc</w:t>
                          </w:r>
                          <w:r>
                            <w:rPr/>
                            <w:fldChar w:fldCharType="end"/>
                          </w:r>
                        </w:p>
                      </w:txbxContent>
                    </wps:txbx>
                    <wps:bodyPr anchor="t" lIns="0" tIns="0" rIns="0" bIns="0">
                      <a:noAutofit/>
                    </wps:bodyPr>
                  </wps:wsp>
                </a:graphicData>
              </a:graphic>
            </wp:anchor>
          </w:drawing>
        </mc:Choice>
        <mc:Fallback>
          <w:pict>
            <v:rect fillcolor="#FFFFFF" style="position:absolute;rotation:-0;width:1.15pt;height:1.65pt;mso-wrap-distance-left:9pt;mso-wrap-distance-right:9pt;mso-wrap-distance-top:9pt;mso-wrap-distance-bottom:9pt;margin-top:799.2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/mnt/main-storage/datasets/enron-docs/doc/SEC_Panel_Outline_10Apr00.doc</w:t>
                    </w:r>
                    <w: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rFonts w:eastAsia="Palatino"/>
          <w:sz w:val="22"/>
        </w:rPr>
        <w:t xml:space="preserve"> </w:t>
      </w:r>
      <w:r>
        <w:rPr>
          <w:sz w:val="22"/>
        </w:rPr>
        <w:t>This draft is solely for purposes of discussion by the panel members.  At this early stage it does not reflect input from the panel members and does not represent their views.</w:t>
      </w:r>
    </w:p>
    <w:p>
      <w:pPr>
        <w:pStyle w:val="FootnoteText"/>
        <w:rPr>
          <w:sz w:val="22"/>
        </w:rPr>
      </w:pPr>
      <w:r>
        <w:rPr>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19">
              <wp:simplePos x="0" y="0"/>
              <wp:positionH relativeFrom="page">
                <wp:posOffset>3429000</wp:posOffset>
              </wp:positionH>
              <wp:positionV relativeFrom="page">
                <wp:posOffset>457835</wp:posOffset>
              </wp:positionV>
              <wp:extent cx="3657600"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3657600" cy="116840"/>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/mnt/main-storage/datasets/enron-docs/doc/SEC_Panel_Outline_10Apr00.doc</w:t>
                          </w:r>
                          <w:r>
                            <w:rPr/>
                            <w:fldChar w:fldCharType="end"/>
                          </w:r>
                        </w:p>
                      </w:txbxContent>
                    </wps:txbx>
                    <wps:bodyPr anchor="t" lIns="0" tIns="0" rIns="0" bIns="0">
                      <a:noAutofit/>
                    </wps:bodyPr>
                  </wps:wsp>
                </a:graphicData>
              </a:graphic>
            </wp:anchor>
          </w:drawing>
        </mc:Choice>
        <mc:Fallback>
          <w:pict>
            <v:rect fillcolor="#FFFFFF" style="position:absolute;rotation:-0;width:288pt;height:9.2pt;mso-wrap-distance-left:9pt;mso-wrap-distance-right:9pt;mso-wrap-distance-top:9pt;mso-wrap-distance-bottom:9pt;margin-top:36.05pt;mso-position-vertical-relative:page;margin-left:270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/mnt/main-storage/datasets/enron-docs/doc/SEC_Panel_Outline_10Apr00.doc</w:t>
                    </w:r>
                    <w: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NewDocIDFormat" w:val="-1"/>
    <w:docVar w:name="DocIDStyle" w:val="DocumentID-TR"/>
    <w:docVar w:name="sPageSize" w:val="9"/>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Times New Roman" w:hAnsi="Times New Roman" w:cs="Times New Roman"/>
    </w:rPr>
  </w:style>
  <w:style w:type="character" w:styleId="WW8Num7z0">
    <w:name w:val="WW8Num7z0"/>
    <w:qFormat/>
    <w:rPr>
      <w:rFonts w:ascii="Palatino" w:hAnsi="Palatino" w:cs="Palatino"/>
    </w:rPr>
  </w:style>
  <w:style w:type="character" w:styleId="WW8Num8z0">
    <w:name w:val="WW8Num8z0"/>
    <w:qFormat/>
    <w:rPr>
      <w:rFonts w:ascii="TIMES" w:hAnsi="TIMES" w:cs="TIMES"/>
      <w:b w:val="false"/>
      <w:i w:val="false"/>
      <w:sz w:val="24"/>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6z0">
    <w:name w:val="WW8Num16z0"/>
    <w:qFormat/>
    <w:rPr>
      <w:rFonts w:ascii="Palatino" w:hAnsi="Palatino" w:cs="Palatino"/>
    </w:rPr>
  </w:style>
  <w:style w:type="character" w:styleId="WW8Num17z0">
    <w:name w:val="WW8Num17z0"/>
    <w:qFormat/>
    <w:rPr>
      <w:rFonts w:ascii="TIMES" w:hAnsi="TIMES" w:cs="TIMES"/>
      <w:b w:val="false"/>
      <w:i w:val="false"/>
      <w:sz w:val="24"/>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Times New Roman" w:hAnsi="Times New Roman" w:cs="Times New Roman"/>
    </w:rPr>
  </w:style>
  <w:style w:type="character" w:styleId="WW8Num23z0">
    <w:name w:val="WW8Num23z0"/>
    <w:qFormat/>
    <w:rPr>
      <w:rFonts w:ascii="Wingdings" w:hAnsi="Wingdings" w:cs="Wingdings"/>
    </w:rPr>
  </w:style>
  <w:style w:type="character" w:styleId="WW8Num24z0">
    <w:name w:val="WW8Num24z0"/>
    <w:qFormat/>
    <w:rPr>
      <w:rFonts w:ascii="Palatino" w:hAnsi="Palatino" w:cs="Palatino"/>
      <w:b w:val="false"/>
      <w:i w:val="false"/>
    </w:rPr>
  </w:style>
  <w:style w:type="character" w:styleId="WW8Num25z0">
    <w:name w:val="WW8Num25z0"/>
    <w:qFormat/>
    <w:rPr>
      <w:rFonts w:ascii="Wingdings" w:hAnsi="Wingdings" w:cs="Wingdings"/>
    </w:rPr>
  </w:style>
  <w:style w:type="character" w:styleId="WW8Num26z0">
    <w:name w:val="WW8Num26z0"/>
    <w:qFormat/>
    <w:rPr>
      <w:rFonts w:ascii="TIMES" w:hAnsi="TIMES" w:cs="TIMES"/>
      <w:b w:val="false"/>
      <w:i w:val="false"/>
      <w:sz w:val="24"/>
    </w:rPr>
  </w:style>
  <w:style w:type="character" w:styleId="WW8Num27z0">
    <w:name w:val="WW8Num27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New Roman" w:hAnsi="Times New Roman" w:cs="Times New Roman"/>
      <w:b w:val="false"/>
      <w:i w:val="false"/>
    </w:rPr>
  </w:style>
  <w:style w:type="character" w:styleId="WW8Num33z0">
    <w:name w:val="WW8Num33z0"/>
    <w:qFormat/>
    <w:rPr>
      <w:rFonts w:ascii="TIMES" w:hAnsi="TIMES" w:cs="TIMES"/>
      <w:b w:val="false"/>
      <w:i w:val="false"/>
      <w:sz w:val="24"/>
    </w:rPr>
  </w:style>
  <w:style w:type="character" w:styleId="WW8Num34z0">
    <w:name w:val="WW8Num34z0"/>
    <w:qFormat/>
    <w:rPr>
      <w:rFonts w:ascii="Palatino" w:hAnsi="Palatino" w:cs="Palatino"/>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rPr>
  </w:style>
  <w:style w:type="character" w:styleId="WW8Num37z0">
    <w:name w:val="WW8Num37z0"/>
    <w:qFormat/>
    <w:rPr>
      <w:rFonts w:ascii="TIMES" w:hAnsi="TIMES" w:cs="TIMES"/>
      <w:b w:val="false"/>
      <w:i w:val="false"/>
      <w:sz w:val="24"/>
    </w:rPr>
  </w:style>
  <w:style w:type="character" w:styleId="WW8Num38z0">
    <w:name w:val="WW8Num38z0"/>
    <w:qFormat/>
    <w:rPr>
      <w:rFonts w:ascii="Times New Roman" w:hAnsi="Times New Roman" w:cs="Times New Roman"/>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w:hAnsi="TIMES" w:cs="TIMES"/>
      <w:b w:val="false"/>
      <w:i w:val="false"/>
      <w:sz w:val="24"/>
    </w:rPr>
  </w:style>
  <w:style w:type="character" w:styleId="WW8Num47z0">
    <w:name w:val="WW8Num47z0"/>
    <w:qFormat/>
    <w:rPr>
      <w:rFonts w:ascii="Wingdings" w:hAnsi="Wingdings" w:cs="Wingdings"/>
    </w:rPr>
  </w:style>
  <w:style w:type="character" w:styleId="WW8Num48z0">
    <w:name w:val="WW8Num48z0"/>
    <w:qFormat/>
    <w:rPr>
      <w:rFonts w:ascii="Times New Roman" w:hAnsi="Times New Roman" w:cs="Times New Roman"/>
      <w:b w:val="false"/>
      <w:i w:val="false"/>
    </w:rPr>
  </w:style>
  <w:style w:type="character" w:styleId="WW8NumSt7z0">
    <w:name w:val="WW8NumSt7z0"/>
    <w:qFormat/>
    <w:rPr>
      <w:rFonts w:ascii="TIMES" w:hAnsi="TIMES" w:cs="TIMES"/>
      <w:sz w:val="24"/>
    </w:rPr>
  </w:style>
  <w:style w:type="character" w:styleId="WW8NumSt8z0">
    <w:name w:val="WW8NumSt8z0"/>
    <w:qFormat/>
    <w:rPr>
      <w:rFonts w:ascii="TIMES" w:hAnsi="TIMES" w:cs="TIMES"/>
    </w:rPr>
  </w:style>
  <w:style w:type="character" w:styleId="WW8NumSt9z0">
    <w:name w:val="WW8NumSt9z0"/>
    <w:qFormat/>
    <w:rPr>
      <w:rFonts w:ascii="TIMES" w:hAnsi="TIMES" w:cs="TIMES"/>
    </w:rPr>
  </w:style>
  <w:style w:type="character" w:styleId="WW8NumSt10z0">
    <w:name w:val="WW8NumSt10z0"/>
    <w:qFormat/>
    <w:rPr>
      <w:rFonts w:ascii="TIMES" w:hAnsi="TIMES" w:cs="TIMES"/>
    </w:rPr>
  </w:style>
  <w:style w:type="character" w:styleId="WW8NumSt11z0">
    <w:name w:val="WW8NumSt11z0"/>
    <w:qFormat/>
    <w:rPr>
      <w:rFonts w:ascii="TIMES" w:hAnsi="TIMES" w:cs="TIMES"/>
    </w:rPr>
  </w:style>
  <w:style w:type="character" w:styleId="WW8NumSt41z0">
    <w:name w:val="WW8NumSt41z0"/>
    <w:qFormat/>
    <w:rPr>
      <w:rFonts w:ascii="Palatino" w:hAnsi="Palatino" w:cs="Palatino"/>
    </w:rPr>
  </w:style>
  <w:style w:type="character" w:styleId="WW8NumSt42z0">
    <w:name w:val="WW8NumSt42z0"/>
    <w:qFormat/>
    <w:rPr>
      <w:rFonts w:ascii="Palatino" w:hAnsi="Palatino" w:cs="Palatino"/>
    </w:rPr>
  </w:style>
  <w:style w:type="character" w:styleId="WW8NumSt49z0">
    <w:name w:val="WW8NumSt49z0"/>
    <w:qFormat/>
    <w:rPr>
      <w:rFonts w:ascii="Palatino" w:hAnsi="Palatino" w:cs="Palatino"/>
    </w:rPr>
  </w:style>
  <w:style w:type="character" w:styleId="WW8NumSt52z0">
    <w:name w:val="WW8NumSt52z0"/>
    <w:qFormat/>
    <w:rPr>
      <w:rFonts w:ascii="Palatino" w:hAnsi="Palatino" w:cs="Palatino"/>
    </w:rPr>
  </w:style>
  <w:style w:type="character" w:styleId="WW8NumSt69z0">
    <w:name w:val="WW8NumSt69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Palatino" w:hAnsi="Palatino" w:cs="Palatino"/>
      <w:b/>
      <w:sz w:val="24"/>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rFonts w:ascii="Palatino" w:hAnsi="Palatino" w:cs="Palatino"/>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rFonts w:ascii="Palatino" w:hAnsi="Palatino" w:cs="Palatino"/>
      <w:b/>
      <w:caps/>
      <w:sz w:val="24"/>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rFonts w:ascii="Palatino" w:hAnsi="Palatino" w:cs="Palatino"/>
      <w:b/>
      <w:sz w:val="26"/>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8" w:start="979" w:end="0"/>
      <w:outlineLvl w:val="5"/>
    </w:pPr>
    <w:rPr>
      <w:rFonts w:ascii="Palatino" w:hAnsi="Palatino" w:cs="Palatino"/>
      <w:sz w:val="24"/>
    </w:rPr>
  </w:style>
  <w:style w:type="paragraph" w:styleId="06letter2">
    <w:name w:val="06 letter/2"/>
    <w:basedOn w:val="Normal"/>
    <w:qFormat/>
    <w:pPr>
      <w:ind w:hanging="317" w:start="1296" w:end="0"/>
      <w:outlineLvl w:val="6"/>
    </w:pPr>
    <w:rPr>
      <w:rFonts w:ascii="Palatino" w:hAnsi="Palatino" w:cs="Palatino"/>
      <w:sz w:val="24"/>
    </w:rPr>
  </w:style>
  <w:style w:type="paragraph" w:styleId="07number3">
    <w:name w:val="07 number/3"/>
    <w:basedOn w:val="Normal"/>
    <w:qFormat/>
    <w:pPr>
      <w:ind w:hanging="331" w:start="1627" w:end="0"/>
      <w:outlineLvl w:val="7"/>
    </w:pPr>
    <w:rPr>
      <w:rFonts w:ascii="Palatino" w:hAnsi="Palatino" w:cs="Palatino"/>
      <w:sz w:val="24"/>
    </w:rPr>
  </w:style>
  <w:style w:type="paragraph" w:styleId="08letter4">
    <w:name w:val="08 letter/4"/>
    <w:basedOn w:val="Normal"/>
    <w:qFormat/>
    <w:pPr>
      <w:ind w:hanging="259" w:start="1872" w:end="0"/>
      <w:outlineLvl w:val="8"/>
    </w:pPr>
    <w:rPr>
      <w:rFonts w:ascii="Palatino" w:hAnsi="Palatino" w:cs="Palatino"/>
      <w:sz w:val="24"/>
    </w:rPr>
  </w:style>
  <w:style w:type="paragraph" w:styleId="09number10">
    <w:name w:val="09 number/10"/>
    <w:basedOn w:val="05number1"/>
    <w:qFormat/>
    <w:pPr>
      <w:ind w:hanging="403" w:start="979"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spacing w:before="0" w:after="180"/>
      <w:outlineLvl w:val="4"/>
    </w:pPr>
    <w:rPr>
      <w:rFonts w:ascii="Palatino" w:hAnsi="Palatino" w:cs="Palatino"/>
      <w:b/>
      <w:sz w:val="24"/>
    </w:rPr>
  </w:style>
  <w:style w:type="paragraph" w:styleId="23summary3">
    <w:name w:val="23 summary 3*"/>
    <w:basedOn w:val="Normal"/>
    <w:next w:val="Normal"/>
    <w:qFormat/>
    <w:pPr>
      <w:spacing w:before="60" w:after="480"/>
      <w:jc w:val="center"/>
    </w:pPr>
    <w:rPr>
      <w:rFonts w:ascii="Palatino" w:hAnsi="Palatino" w:cs="Palatino"/>
      <w:sz w:val="24"/>
    </w:rPr>
  </w:style>
  <w:style w:type="paragraph" w:styleId="24enddateover">
    <w:name w:val="24 end date/over"/>
    <w:basedOn w:val="Normal"/>
    <w:next w:val="Normal"/>
    <w:qFormat/>
    <w:pPr>
      <w:spacing w:before="300" w:after="180"/>
      <w:jc w:val="end"/>
    </w:pPr>
    <w:rPr>
      <w:rFonts w:ascii="Palatino" w:hAnsi="Palatino" w:cs="Palatino"/>
      <w:i/>
      <w:sz w:val="24"/>
    </w:rPr>
  </w:style>
  <w:style w:type="paragraph" w:styleId="25source">
    <w:name w:val="25 source"/>
    <w:basedOn w:val="Normal"/>
    <w:qFormat/>
    <w:pPr>
      <w:tabs>
        <w:tab w:val="clear" w:pos="720"/>
        <w:tab w:val="right" w:pos="619" w:leader="none"/>
      </w:tabs>
      <w:spacing w:before="0" w:after="40"/>
      <w:ind w:hanging="835" w:start="835" w:end="0"/>
    </w:pPr>
    <w:rPr>
      <w:rFonts w:ascii="Palatino" w:hAnsi="Palatino" w:cs="Palatino"/>
      <w:sz w:val="18"/>
    </w:rPr>
  </w:style>
  <w:style w:type="paragraph" w:styleId="26note">
    <w:name w:val="26 note"/>
    <w:basedOn w:val="Normal"/>
    <w:qFormat/>
    <w:pPr>
      <w:tabs>
        <w:tab w:val="clear" w:pos="720"/>
        <w:tab w:val="right" w:pos="446" w:leader="none"/>
      </w:tabs>
      <w:spacing w:before="0" w:after="40"/>
      <w:ind w:hanging="648" w:start="648" w:end="0"/>
    </w:pPr>
    <w:rPr>
      <w:rFonts w:ascii="Palatino" w:hAnsi="Palatino" w:cs="Palatino"/>
      <w:sz w:val="18"/>
    </w:rPr>
  </w:style>
  <w:style w:type="paragraph" w:styleId="30documenttitle">
    <w:name w:val="30 document title"/>
    <w:basedOn w:val="Normal"/>
    <w:next w:val="31subtitle"/>
    <w:qFormat/>
    <w:pPr>
      <w:spacing w:before="720" w:after="360"/>
      <w:ind w:hanging="0" w:start="0" w:end="1080"/>
      <w:outlineLvl w:val="0"/>
    </w:pPr>
    <w:rPr>
      <w:rFonts w:ascii="Palatino" w:hAnsi="Palatino" w:cs="Palatino"/>
      <w:sz w:val="40"/>
    </w:rPr>
  </w:style>
  <w:style w:type="paragraph" w:styleId="31subtitle">
    <w:name w:val="31 subtitle"/>
    <w:basedOn w:val="Normal"/>
    <w:next w:val="Normal"/>
    <w:qFormat/>
    <w:pPr>
      <w:spacing w:before="0" w:after="720"/>
      <w:ind w:hanging="0" w:start="0" w:end="3601"/>
    </w:pPr>
    <w:rPr>
      <w:rFonts w:ascii="Palatino" w:hAnsi="Palatino" w:cs="Palatino"/>
      <w:i/>
      <w:sz w:val="2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rFonts w:ascii="Palatino" w:hAnsi="Palatino" w:cs="Palatino"/>
      <w:b/>
      <w:sz w:val="26"/>
    </w:rPr>
  </w:style>
  <w:style w:type="paragraph" w:styleId="34contentspage">
    <w:name w:val="34 contents page"/>
    <w:basedOn w:val="Normal"/>
    <w:next w:val="Normal"/>
    <w:qFormat/>
    <w:pPr>
      <w:tabs>
        <w:tab w:val="clear" w:pos="720"/>
        <w:tab w:val="right" w:pos="8640" w:leader="none"/>
      </w:tabs>
      <w:spacing w:before="0" w:after="180"/>
      <w:jc w:val="end"/>
    </w:pPr>
    <w:rPr>
      <w:rFonts w:ascii="Palatino" w:hAnsi="Palatino" w:cs="Palatino"/>
      <w:i/>
      <w:sz w:val="18"/>
    </w:rPr>
  </w:style>
  <w:style w:type="paragraph" w:styleId="35contentssubject">
    <w:name w:val="35 contents subject"/>
    <w:basedOn w:val="Normal"/>
    <w:qFormat/>
    <w:pPr>
      <w:tabs>
        <w:tab w:val="left" w:pos="720" w:leader="none"/>
        <w:tab w:val="right" w:pos="8640" w:leader="none"/>
      </w:tabs>
      <w:spacing w:before="0" w:after="180"/>
      <w:ind w:hanging="0" w:start="360" w:end="0"/>
    </w:pPr>
    <w:rPr>
      <w:rFonts w:ascii="Palatino" w:hAnsi="Palatino" w:cs="Palatino"/>
      <w:sz w:val="24"/>
    </w:rPr>
  </w:style>
  <w:style w:type="paragraph" w:styleId="36opener">
    <w:name w:val="36 opener"/>
    <w:basedOn w:val="Normal"/>
    <w:qFormat/>
    <w:pPr>
      <w:tabs>
        <w:tab w:val="clear" w:pos="720"/>
        <w:tab w:val="right" w:pos="-261" w:leader="none"/>
      </w:tabs>
      <w:spacing w:before="0" w:after="0"/>
      <w:ind w:hanging="2160" w:start="0" w:end="0"/>
    </w:pPr>
    <w:rPr>
      <w:rFonts w:ascii="Palatino" w:hAnsi="Palatino" w:cs="Palatino"/>
      <w:sz w:val="24"/>
    </w:rPr>
  </w:style>
  <w:style w:type="paragraph" w:styleId="37memointervtitle">
    <w:name w:val="37 memo/interv title"/>
    <w:basedOn w:val="Normal"/>
    <w:next w:val="Normal"/>
    <w:qFormat/>
    <w:pPr>
      <w:spacing w:before="720" w:after="360"/>
    </w:pPr>
    <w:rPr>
      <w:rFonts w:ascii="Palatino" w:hAnsi="Palatino" w:cs="Palatino"/>
      <w:sz w:val="40"/>
    </w:rPr>
  </w:style>
  <w:style w:type="paragraph" w:styleId="38date">
    <w:name w:val="38 date"/>
    <w:basedOn w:val="Normal"/>
    <w:next w:val="39restrictivenote"/>
    <w:qFormat/>
    <w:pPr>
      <w:spacing w:before="1680" w:after="180"/>
      <w:jc w:val="end"/>
    </w:pPr>
    <w:rPr>
      <w:rFonts w:ascii="Palatino" w:hAnsi="Palatino" w:cs="Palatino"/>
      <w:sz w:val="24"/>
    </w:rPr>
  </w:style>
  <w:style w:type="paragraph" w:styleId="39restrictivenote">
    <w:name w:val="39 restrictive note"/>
    <w:basedOn w:val="Normal"/>
    <w:next w:val="40address"/>
    <w:qFormat/>
    <w:pPr>
      <w:spacing w:before="0" w:after="180"/>
    </w:pPr>
    <w:rPr>
      <w:rFonts w:ascii="Palatino" w:hAnsi="Palatino" w:cs="Palatino"/>
      <w:i/>
      <w:sz w:val="24"/>
    </w:rPr>
  </w:style>
  <w:style w:type="paragraph" w:styleId="40address">
    <w:name w:val="40 address"/>
    <w:basedOn w:val="Normal"/>
    <w:qFormat/>
    <w:pPr>
      <w:spacing w:before="0" w:after="180"/>
    </w:pPr>
    <w:rPr>
      <w:rFonts w:ascii="Palatino" w:hAnsi="Palatino" w:cs="Palatino"/>
      <w:sz w:val="24"/>
    </w:rPr>
  </w:style>
  <w:style w:type="paragraph" w:styleId="41closing">
    <w:name w:val="41 closing"/>
    <w:basedOn w:val="Normal"/>
    <w:qFormat/>
    <w:pPr>
      <w:spacing w:before="60" w:after="180"/>
      <w:ind w:hanging="0" w:start="3958" w:end="0"/>
    </w:pPr>
    <w:rPr>
      <w:rFonts w:ascii="Palatino" w:hAnsi="Palatino" w:cs="Palatino"/>
      <w:sz w:val="24"/>
    </w:rPr>
  </w:style>
  <w:style w:type="paragraph" w:styleId="42cc">
    <w:name w:val="42 cc:"/>
    <w:basedOn w:val="Normal"/>
    <w:qFormat/>
    <w:pPr>
      <w:spacing w:before="0" w:after="180"/>
      <w:ind w:hanging="544" w:start="544" w:end="0"/>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80"/>
    </w:pPr>
    <w:rPr>
      <w:rFonts w:ascii="Palatino" w:hAnsi="Palatino" w:cs="Palatino"/>
      <w:i/>
      <w:sz w:val="24"/>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rFonts w:ascii="Palatino" w:hAnsi="Palatino" w:cs="Palatino"/>
      <w:sz w:val="24"/>
    </w:rPr>
  </w:style>
  <w:style w:type="paragraph" w:styleId="45monarchheader">
    <w:name w:val="45 monarch header"/>
    <w:basedOn w:val="Normal"/>
    <w:qFormat/>
    <w:pPr>
      <w:tabs>
        <w:tab w:val="clear" w:pos="720"/>
        <w:tab w:val="center" w:pos="3510" w:leader="none"/>
        <w:tab w:val="right" w:pos="7020" w:leader="none"/>
      </w:tabs>
      <w:spacing w:before="0" w:after="180"/>
    </w:pPr>
    <w:rPr>
      <w:rFonts w:ascii="Palatino" w:hAnsi="Palatino" w:cs="Palatino"/>
      <w:i/>
      <w:sz w:val="24"/>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spacing w:before="0" w:after="180"/>
      <w:ind w:hanging="0" w:start="0" w:end="-4320"/>
    </w:pPr>
    <w:rPr>
      <w:rFonts w:ascii="Palatino" w:hAnsi="Palatino" w:cs="Palatino"/>
      <w:sz w:val="24"/>
    </w:rPr>
  </w:style>
  <w:style w:type="paragraph" w:styleId="60exhnormal">
    <w:name w:val="60 exh normal"/>
    <w:basedOn w:val="Normal"/>
    <w:qFormat/>
    <w:pPr>
      <w:spacing w:before="0" w:after="0"/>
    </w:pPr>
    <w:rPr>
      <w:rFonts w:ascii="Arial" w:hAnsi="Arial" w:cs="Arial"/>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1"/>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spacing w:before="0" w:after="180"/>
    </w:pPr>
    <w:rPr>
      <w:rFonts w:ascii="Palatino" w:hAnsi="Palatino" w:cs="Palatino"/>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3" w:start="363" w:end="0"/>
    </w:pPr>
    <w:rPr>
      <w:sz w:val="18"/>
    </w:rPr>
  </w:style>
  <w:style w:type="paragraph" w:styleId="92exhnote">
    <w:name w:val="92 exh note***"/>
    <w:basedOn w:val="60exhnormal"/>
    <w:qFormat/>
    <w:pPr>
      <w:tabs>
        <w:tab w:val="clear" w:pos="720"/>
        <w:tab w:val="right" w:pos="261" w:leader="none"/>
      </w:tabs>
      <w:spacing w:before="0" w:after="40"/>
      <w:ind w:hanging="448" w:start="448" w:end="0"/>
    </w:pPr>
    <w:rPr>
      <w:sz w:val="18"/>
    </w:rPr>
  </w:style>
  <w:style w:type="paragraph" w:styleId="CommentText">
    <w:name w:val="Comment Text"/>
    <w:basedOn w:val="Normal"/>
    <w:qFormat/>
    <w:pPr>
      <w:spacing w:before="0" w:after="180"/>
    </w:pPr>
    <w:rPr>
      <w:sz w:val="20"/>
    </w:rPr>
  </w:style>
  <w:style w:type="paragraph" w:styleId="DocumentID-BL">
    <w:name w:val="DocumentID-BL"/>
    <w:basedOn w:val="Normal"/>
    <w:next w:val="Header"/>
    <w:qFormat/>
    <w:pPr>
      <w:spacing w:before="0" w:after="0"/>
    </w:pPr>
    <w:rPr>
      <w:vanish/>
      <w:color w:val="FF0000"/>
      <w:sz w:val="16"/>
    </w:rPr>
  </w:style>
  <w:style w:type="paragraph" w:styleId="DocumentID-BLT">
    <w:name w:val="DocumentID-BLT"/>
    <w:basedOn w:val="DocumentID-BL"/>
    <w:qFormat/>
    <w:pPr/>
    <w:rPr>
      <w:vanish w:val="false"/>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rFonts w:ascii="Palatino" w:hAnsi="Palatino" w:cs="Palatino"/>
      <w:sz w:val="24"/>
    </w:rPr>
  </w:style>
  <w:style w:type="paragraph" w:styleId="EnvelopeReturn">
    <w:name w:val="envelope return"/>
    <w:basedOn w:val="Normal"/>
    <w:pPr>
      <w:spacing w:before="0" w:after="0"/>
    </w:pPr>
    <w:rPr>
      <w:sz w:val="20"/>
    </w:rPr>
  </w:style>
  <w:style w:type="paragraph" w:styleId="Footer">
    <w:name w:val="footer"/>
    <w:basedOn w:val="Normal"/>
    <w:pPr>
      <w:spacing w:before="0" w:after="0"/>
      <w:jc w:val="end"/>
    </w:pPr>
    <w:rPr>
      <w:rFonts w:ascii="Palatino" w:hAnsi="Palatino" w:cs="Palatino"/>
      <w:sz w:val="24"/>
    </w:rPr>
  </w:style>
  <w:style w:type="paragraph" w:styleId="FootnoteText">
    <w:name w:val="footnote text"/>
    <w:basedOn w:val="Normal"/>
    <w:pPr>
      <w:spacing w:before="0" w:after="0"/>
      <w:ind w:hanging="288" w:start="288" w:end="0"/>
    </w:pPr>
    <w:rPr>
      <w:rFonts w:ascii="Palatino" w:hAnsi="Palatino" w:cs="Palatino"/>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Vertical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2000-04-11T10:56:00Z</dcterms:created>
  <dc:creator>Tim Koller</dc:creator>
  <dc:description>p</dc:description>
  <dc:language>en-CA</dc:language>
  <cp:lastModifiedBy>valeriep</cp:lastModifiedBy>
  <cp:lastPrinted>2000-04-11T13:22:00Z</cp:lastPrinted>
  <dcterms:modified xsi:type="dcterms:W3CDTF">2000-04-11T10:56:00Z</dcterms:modified>
  <cp:revision>2</cp:revision>
  <dc:subject/>
  <dc:title>SEC Panel:  Value Creation in the New Economy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1</vt:bool>
  </property>
  <property fmtid="{D5CDD505-2E9C-101B-9397-08002B2CF9AE}" pid="3" name="DocIDPos">
    <vt:lpwstr>TR</vt:lpwstr>
  </property>
  <property fmtid="{D5CDD505-2E9C-101B-9397-08002B2CF9AE}" pid="4" name="DocIDinText">
    <vt:bool>1</vt:bool>
  </property>
</Properties>
</file>