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61" w:type="dxa"/>
        <w:jc w:val="start"/>
        <w:tblInd w:w="1944" w:type="dxa"/>
        <w:tblLayout w:type="fixed"/>
        <w:tblCellMar>
          <w:top w:w="0" w:type="dxa"/>
          <w:start w:w="108" w:type="dxa"/>
          <w:bottom w:w="0" w:type="dxa"/>
          <w:end w:w="108" w:type="dxa"/>
        </w:tblCellMar>
      </w:tblPr>
      <w:tblGrid>
        <w:gridCol w:w="5761"/>
      </w:tblGrid>
      <w:tr>
        <w:trPr>
          <w:trHeight w:val="3440" w:hRule="exact"/>
        </w:trPr>
        <w:tc>
          <w:tcPr>
            <w:tcW w:w="5761" w:type="dxa"/>
            <w:tcBorders/>
          </w:tcPr>
          <w:p>
            <w:pPr>
              <w:pStyle w:val="Normal"/>
              <w:snapToGrid w:val="false"/>
              <w:spacing w:before="0" w:after="180"/>
              <w:rPr/>
            </w:pPr>
            <w:r>
              <w:rPr/>
            </w:r>
          </w:p>
        </w:tc>
      </w:tr>
      <w:tr>
        <w:trPr>
          <w:trHeight w:val="1800" w:hRule="exact"/>
        </w:trPr>
        <w:tc>
          <w:tcPr>
            <w:tcW w:w="5761" w:type="dxa"/>
            <w:tcBorders/>
          </w:tcPr>
          <w:p>
            <w:pPr>
              <w:pStyle w:val="Normal"/>
              <w:spacing w:before="0" w:after="180"/>
              <w:rPr>
                <w:caps/>
                <w:sz w:val="28"/>
              </w:rPr>
            </w:pPr>
            <w:r>
              <w:rPr>
                <w:caps/>
                <w:sz w:val="28"/>
              </w:rPr>
              <w:t>Confidential</w:t>
            </w:r>
          </w:p>
        </w:tc>
      </w:tr>
      <w:tr>
        <w:trPr>
          <w:trHeight w:val="2360" w:hRule="atLeast"/>
        </w:trPr>
        <w:tc>
          <w:tcPr>
            <w:tcW w:w="5761" w:type="dxa"/>
            <w:tcBorders/>
          </w:tcPr>
          <w:p>
            <w:pPr>
              <w:pStyle w:val="Normal"/>
              <w:spacing w:before="0" w:after="180"/>
              <w:rPr>
                <w:sz w:val="48"/>
              </w:rPr>
            </w:pPr>
            <w:bookmarkStart w:id="0" w:name="TitleMcK"/>
            <w:bookmarkEnd w:id="0"/>
            <w:r>
              <w:rPr>
                <w:sz w:val="48"/>
              </w:rPr>
              <w:t>Panel on Investor Information</w:t>
            </w:r>
          </w:p>
        </w:tc>
      </w:tr>
      <w:tr>
        <w:trPr>
          <w:trHeight w:val="1440" w:hRule="atLeast"/>
        </w:trPr>
        <w:tc>
          <w:tcPr>
            <w:tcW w:w="5761" w:type="dxa"/>
            <w:tcBorders/>
          </w:tcPr>
          <w:p>
            <w:pPr>
              <w:pStyle w:val="Normal"/>
              <w:spacing w:before="0" w:after="180"/>
              <w:rPr>
                <w:caps/>
                <w:sz w:val="28"/>
              </w:rPr>
            </w:pPr>
            <w:r>
              <w:rPr>
                <w:caps/>
                <w:sz w:val="28"/>
              </w:rPr>
              <w:t>proposed Draft of report</w:t>
            </w:r>
          </w:p>
        </w:tc>
      </w:tr>
      <w:tr>
        <w:trPr/>
        <w:tc>
          <w:tcPr>
            <w:tcW w:w="5761" w:type="dxa"/>
            <w:tcBorders/>
          </w:tcPr>
          <w:p>
            <w:pPr>
              <w:pStyle w:val="Normal"/>
              <w:snapToGrid w:val="false"/>
              <w:spacing w:before="0" w:after="140"/>
              <w:rPr>
                <w:caps/>
                <w:sz w:val="28"/>
              </w:rPr>
            </w:pPr>
            <w:r>
              <w:rPr>
                <w:caps/>
                <w:sz w:val="28"/>
              </w:rPr>
            </w:r>
          </w:p>
        </w:tc>
      </w:tr>
      <w:tr>
        <w:trPr/>
        <w:tc>
          <w:tcPr>
            <w:tcW w:w="5761" w:type="dxa"/>
            <w:tcBorders/>
          </w:tcPr>
          <w:p>
            <w:pPr>
              <w:pStyle w:val="Normal"/>
              <w:spacing w:before="0" w:after="180"/>
              <w:rPr>
                <w:sz w:val="28"/>
              </w:rPr>
            </w:pPr>
            <w:r>
              <w:rPr>
                <w:sz w:val="28"/>
              </w:rPr>
              <w:t>September 14, 2000</w:t>
            </w:r>
          </w:p>
        </w:tc>
      </w:tr>
      <w:tr>
        <w:trPr/>
        <w:tc>
          <w:tcPr>
            <w:tcW w:w="5761" w:type="dxa"/>
            <w:tcBorders/>
          </w:tcPr>
          <w:p>
            <w:pPr>
              <w:pStyle w:val="Normal"/>
              <w:spacing w:before="0" w:after="0"/>
              <w:rPr>
                <w:vanish/>
                <w:sz w:val="20"/>
              </w:rPr>
            </w:pPr>
            <w:r>
              <w:rPr>
                <w:vanish/>
                <w:color w:val="FF0000"/>
                <w:sz w:val="20"/>
              </w:rPr>
              <w:t>The disclaimer appears in the footer.  This text will not print.</w:t>
            </w:r>
          </w:p>
        </w:tc>
      </w:tr>
    </w:tbl>
    <w:p>
      <w:pPr>
        <w:sectPr>
          <w:headerReference w:type="default" r:id="rId2"/>
          <w:footerReference w:type="default" r:id="rId3"/>
          <w:type w:val="nextPage"/>
          <w:pgSz w:w="12240" w:h="15840"/>
          <w:pgMar w:left="2347" w:right="1253" w:gutter="0" w:header="907" w:top="1440" w:footer="720" w:bottom="1080"/>
          <w:pgNumType w:fmt="decimal"/>
          <w:formProt w:val="false"/>
          <w:textDirection w:val="lrTb"/>
          <w:docGrid w:type="default" w:linePitch="360" w:charSpace="0"/>
        </w:sectPr>
      </w:pPr>
    </w:p>
    <w:p>
      <w:pPr>
        <w:pStyle w:val="Heading2"/>
        <w:ind w:hanging="0" w:start="0"/>
        <w:rPr>
          <w:lang w:eastAsia="en-US"/>
        </w:rPr>
      </w:pPr>
      <w:r>
        <w:rPr>
          <w:lang w:eastAsia="en-US"/>
        </w:rPr>
        <w:t>Executive summary</w:t>
      </w:r>
      <w:r>
        <w:rPr>
          <w:rStyle w:val="FootnoteCharacters"/>
          <w:rStyle w:val="FootnoteReference"/>
          <w:lang w:eastAsia="en-US"/>
        </w:rPr>
        <w:footnoteReference w:id="2"/>
      </w:r>
    </w:p>
    <w:p>
      <w:pPr>
        <w:pStyle w:val="Normal"/>
        <w:rPr>
          <w:b/>
        </w:rPr>
      </w:pPr>
      <w:r>
        <w:rPr/>
        <w:t>This report represents the findings of an independent panel established to consider whether the information needs of the investment community to assess the values of companies are being adequately met by current company disclosure.  This section summarizes the panel’s conclusions.</w:t>
      </w:r>
    </w:p>
    <w:p>
      <w:pPr>
        <w:pStyle w:val="Normal"/>
        <w:rPr/>
      </w:pPr>
      <w:r>
        <w:rPr>
          <w:b/>
        </w:rPr>
        <w:t>Fundamental drivers of value have not changed.</w:t>
      </w:r>
      <w:r>
        <w:rPr/>
        <w:t xml:space="preserve">  Rapid technological innovation is fundamentally changing the way businesses interact with consumers and each other, leading to new products, services and business models.  High uncertainty about which companies will win and lose in this environment has led to record high levels of volatility in the stock markets. Despite these changes in the economy and the associated high volatility in the stock markets, the fundamental drivers of a company’s value continues to be its ability to generate profits and cash flows over the long term.</w:t>
      </w:r>
    </w:p>
    <w:p>
      <w:pPr>
        <w:pStyle w:val="Normal"/>
        <w:rPr/>
      </w:pPr>
      <w:r>
        <w:rPr>
          <w:b/>
        </w:rPr>
        <w:t>Enhanced corporate disclosure will not substantially reduce volatility or create level playing field.</w:t>
      </w:r>
      <w:r>
        <w:rPr/>
        <w:t xml:space="preserve">  While the panel supports the aims of enhancing corporate disclosure, it does not believe that improved corporate disclosure will, by itself, substantially reduce the volatility in the stock markets.  There is too much underlying uncertainty about the future performance of individual companies and the economy as a whole.  Furthermore, enhanced corporate disclosure will not level the playing field between large institutional investors and small individual investors.  Large investors will continue to have preferential access to information from professional analysts (both in-house and third party) and to other sources of relevant information.  Moreover, most independent investors are unlikely to be able to put together the various streams of information, which are available to analysts or be able to apply the same sophisticated judgments to them.</w:t>
      </w:r>
    </w:p>
    <w:p>
      <w:pPr>
        <w:pStyle w:val="Normal"/>
        <w:rPr/>
      </w:pPr>
      <w:r>
        <w:rPr>
          <w:b/>
        </w:rPr>
        <w:t>Market forces leading to innovative new disclosures.</w:t>
      </w:r>
      <w:r>
        <w:rPr/>
        <w:t xml:space="preserve">  In the current environment, it is much more difficult for investors to assess a company’s potential to generate long-term profits and cash flows.  Traditionally, historical financial performance was an important (though not the only) indicator of a company’s value creation potential.  Historical financial performance has become less relevant as companies are going public before they have a financial track record.  Furthermore, new business models based on quickly winning market share before achieving profitability are becoming common.</w:t>
      </w:r>
    </w:p>
    <w:p>
      <w:pPr>
        <w:pStyle w:val="Normal"/>
        <w:rPr/>
      </w:pPr>
      <w:r>
        <w:rPr/>
        <w:t>Given the declining relevance of historical financial information, investors are turning to non-financial information to provide clues about future financial performance.  There is growing evidence that many companies (though not all) are giving investors what they want and providing more non-financial information.   It also appears that companies and market participants learn from each other about which performance measures are likely to be most useful for assessing future financial performance.</w:t>
      </w:r>
    </w:p>
    <w:p>
      <w:pPr>
        <w:pStyle w:val="22numberedparagraph"/>
        <w:tabs>
          <w:tab w:val="clear" w:pos="360"/>
        </w:tabs>
        <w:outlineLvl w:val="9"/>
        <w:rPr/>
      </w:pPr>
      <w:r>
        <w:rPr/>
        <w:t xml:space="preserve">A supportive legal and regulatory environment is best way to ensure quality company disclosures.  </w:t>
      </w:r>
      <w:r>
        <w:rPr>
          <w:b w:val="false"/>
        </w:rPr>
        <w:t>The panel members applaud the trends in enhanced corporate disclosure that are happening voluntarily and agree that even more can be done.  However, we ultimately believe that better disclosure of information more relevant to investors is likely to be best accomplished through the creation of an “environment” that encourages managers to disclose information that they themselves use to assess their companies’ performance and information demanded by investors.  Today, companies often are advised against what might be useful disclosures for fear of lawsuits.  There needs to be a balance between protecting investors from the small number of companies that will deliberately mislead investors and the benefits to most investors and companies from improved disclosure.  There was a sense that expanding the safe harbor rules and perhaps other actions could enhance the environment.</w:t>
      </w:r>
    </w:p>
    <w:p>
      <w:pPr>
        <w:pStyle w:val="Normal"/>
        <w:rPr/>
      </w:pPr>
      <w:r>
        <w:rPr>
          <w:b/>
        </w:rPr>
        <w:t>Companies should disclose more operating performance measures, but specific disclosures should not be mandated.</w:t>
      </w:r>
      <w:r>
        <w:rPr/>
        <w:t xml:space="preserve">  The panel holds a strong belief that investors and companies would benefit from more disclosure of important non-financial information, such as operating performance measures and information about intangibles, as well as relevant forward looking financial information.    However, the panel does not believe that efforts to mandate specific disclosures will be effective.  Relevant disclosures are highly specific to the company and its industry and they change frequently.  It is unlikely that a regulatory process could deal effectively with the diversity of industries and the rapid pace of changing relevance.  [</w:t>
      </w:r>
      <w:r>
        <w:rPr>
          <w:i/>
        </w:rPr>
        <w:t>To panel members, the following is a suggestion that has not been discussed by the panel as a whole.  We would like to get your reaction:</w:t>
      </w:r>
      <w:r>
        <w:rPr/>
        <w:t xml:space="preserve"> On the other hand, the panel would favor a process where companies themselves chose 5-10 key performance measures that they would regularly report to investors, including descriptions of how the measures were calculated and explanations whenever reporting changes were made.] </w:t>
      </w:r>
    </w:p>
    <w:p>
      <w:pPr>
        <w:pStyle w:val="Normal"/>
        <w:rPr/>
      </w:pPr>
      <w:r>
        <w:rPr>
          <w:b/>
        </w:rPr>
        <w:t>Companies should experiment with using the Internet for investor communication.</w:t>
      </w:r>
      <w:r>
        <w:rPr/>
        <w:t xml:space="preserve">  The Internet has opened up new ways for companies to communicate with investors.  The panel supports simultaneous disclosure of information on a company’s web site when it is made available to the SEC, the press, or large groups of investors/analysts.  Furthermore, the panel encourages experimentation with using the Internet for two-way communication between companies and investors.</w:t>
      </w:r>
    </w:p>
    <w:p>
      <w:pPr>
        <w:pStyle w:val="Normal"/>
        <w:rPr/>
      </w:pPr>
      <w:r>
        <w:rPr>
          <w:b/>
        </w:rPr>
        <w:t xml:space="preserve">Other ideas examined by the panel.  </w:t>
      </w:r>
      <w:r>
        <w:rPr/>
        <w:t>The panel examined several other ideas that were ultimately not favored or where consensus was not achieved.  The panel did not favor the following:</w:t>
      </w:r>
    </w:p>
    <w:p>
      <w:pPr>
        <w:pStyle w:val="01parapoint"/>
        <w:numPr>
          <w:ilvl w:val="0"/>
          <w:numId w:val="13"/>
        </w:numPr>
        <w:ind w:hanging="0" w:start="0"/>
        <w:rPr/>
      </w:pPr>
      <w:r>
        <w:rPr/>
        <w:t>Requiring third party verification of non-financial information.  The substantial costs would not outweigh the relatively small improvements expected.</w:t>
      </w:r>
    </w:p>
    <w:p>
      <w:pPr>
        <w:pStyle w:val="01parapoint"/>
        <w:numPr>
          <w:ilvl w:val="0"/>
          <w:numId w:val="13"/>
        </w:numPr>
        <w:ind w:hanging="0" w:start="0"/>
        <w:rPr/>
      </w:pPr>
      <w:r>
        <w:rPr/>
        <w:t>Valuation of intangible assets.  While clearly important, the techniques available today are not sufficiently standard and robust for valuation of intangible assets to be useful for investors.</w:t>
      </w:r>
    </w:p>
    <w:p>
      <w:pPr>
        <w:pStyle w:val="Normal"/>
        <w:rPr/>
      </w:pPr>
      <w:r>
        <w:rPr/>
        <w:t>In the following three areas the panel did not achieve consensus:</w:t>
      </w:r>
    </w:p>
    <w:p>
      <w:pPr>
        <w:pStyle w:val="01parapoint"/>
        <w:numPr>
          <w:ilvl w:val="0"/>
          <w:numId w:val="13"/>
        </w:numPr>
        <w:ind w:hanging="0" w:start="0"/>
        <w:rPr/>
      </w:pPr>
      <w:r>
        <w:rPr/>
        <w:t>Additional disclosures about management.</w:t>
      </w:r>
    </w:p>
    <w:p>
      <w:pPr>
        <w:pStyle w:val="01parapoint"/>
        <w:numPr>
          <w:ilvl w:val="0"/>
          <w:numId w:val="13"/>
        </w:numPr>
        <w:ind w:hanging="0" w:start="0"/>
        <w:rPr/>
      </w:pPr>
      <w:r>
        <w:rPr/>
        <w:t>Additional disclosures about founding investors and their track records.</w:t>
      </w:r>
    </w:p>
    <w:p>
      <w:pPr>
        <w:pStyle w:val="01parapoint"/>
        <w:numPr>
          <w:ilvl w:val="0"/>
          <w:numId w:val="13"/>
        </w:numPr>
        <w:ind w:hanging="0" w:start="0"/>
        <w:rPr>
          <w:i/>
          <w:i/>
        </w:rPr>
      </w:pPr>
      <w:r>
        <w:rPr/>
        <w:t>Quicker reporting of insider trading.</w:t>
      </w:r>
    </w:p>
    <w:p>
      <w:pPr>
        <w:pStyle w:val="Normal"/>
        <w:rPr>
          <w:i/>
          <w:i/>
        </w:rPr>
      </w:pPr>
      <w:r>
        <w:rPr>
          <w:i/>
        </w:rPr>
        <w:t>[Placeholder for further recommended action.]</w:t>
      </w:r>
      <w:r>
        <w:br w:type="page"/>
      </w:r>
    </w:p>
    <w:p>
      <w:pPr>
        <w:pStyle w:val="Heading2"/>
        <w:ind w:hanging="0" w:start="0"/>
        <w:rPr>
          <w:lang w:eastAsia="en-US"/>
        </w:rPr>
      </w:pPr>
      <w:r>
        <w:rPr>
          <w:lang w:eastAsia="en-US"/>
        </w:rPr>
        <w:t>background</w:t>
      </w:r>
    </w:p>
    <w:p>
      <w:pPr>
        <w:pStyle w:val="Normal"/>
        <w:rPr/>
      </w:pPr>
      <w:r>
        <w:rPr/>
        <w:t>This report represents the findings of an independent panel that examined whether the needs of the investment community, in valuing “new economy” companies, are being adequately met by the current disclosures of these companies.</w:t>
      </w:r>
    </w:p>
    <w:p>
      <w:pPr>
        <w:pStyle w:val="Normal"/>
        <w:rPr/>
      </w:pPr>
      <w:r>
        <w:rPr/>
        <w:t>The panel was organized at the suggestion of the chairman of the SEC, Arthur Levitt, but has operated entirely independent of the SEC.  Two of the key issues that led to establishing this panel were: (1) extreme volatility in the stock market in 1999 and early 2000, and (2) the perception that, at a time when many more Americans were participating in the stock market, there was not a level playing field between big and small investors.</w:t>
      </w:r>
    </w:p>
    <w:p>
      <w:pPr>
        <w:pStyle w:val="Normal"/>
        <w:rPr/>
      </w:pPr>
      <w:r>
        <w:rPr/>
        <w:t>The panel members are not technical experts.  They are individuals with significant experience as senior corporate executives, investment bankers, venture capitalists, and academics.  As a result, our recommendations are written to provide directional guidance.  They are not detailed proposals.</w:t>
      </w:r>
    </w:p>
    <w:p>
      <w:pPr>
        <w:pStyle w:val="Normal"/>
        <w:rPr/>
      </w:pPr>
      <w:r>
        <w:rPr/>
        <w:t>The panel also recognizes that many other groups are examining issues related to valuation in the current economic environment.  For example, several of the large accounting firms and a number of academics are looking at the valuation of intangibles.  Other groups like the FASB are focused on accounting issues such as revenue recognition, accounting for business combinations, and accounting for employee stock options.</w:t>
      </w:r>
    </w:p>
    <w:p>
      <w:pPr>
        <w:pStyle w:val="Normal"/>
        <w:rPr/>
      </w:pPr>
      <w:r>
        <w:rPr/>
        <w:t>While our discussions focused on Internet related companies, we believe that the distinction between these and other companies as regards to investor information is increasingly be blurred.  Therefore, our recommendations apply equally to all companies.</w:t>
      </w:r>
    </w:p>
    <w:p>
      <w:pPr>
        <w:pStyle w:val="Normal"/>
        <w:rPr/>
      </w:pPr>
      <w:r>
        <w:rPr/>
        <w:t>This is a [preliminary/final] report.  It is a reflection of three meetings of the group, a number of smaller informal discussions, plus several consultations with legal and accounting experts.  It will be widely distributed to relevant institutions such as the SEC, FASB, NASD, the stock exchanges, and the major accounting firms.  [Furthermore it will be posted on the web site, xxx.org.  We welcome comments from all interested parties by xxx, xx 2000.  We will issue a final report, taking into consideration comments received, by xxx xx, 2000.]</w:t>
      </w:r>
    </w:p>
    <w:p>
      <w:pPr>
        <w:pStyle w:val="Heading2"/>
        <w:ind w:hanging="0" w:start="0"/>
        <w:rPr>
          <w:lang w:eastAsia="en-US"/>
        </w:rPr>
      </w:pPr>
      <w:r>
        <w:rPr>
          <w:lang w:eastAsia="en-US"/>
        </w:rPr>
        <w:t>An environment of rapid and pervasive change</w:t>
      </w:r>
    </w:p>
    <w:p>
      <w:pPr>
        <w:pStyle w:val="Normal"/>
        <w:rPr/>
      </w:pPr>
      <w:r>
        <w:rPr/>
        <w:t>We are living in a unique time where rapid technological innovation is changing our world.  In the past, technological change often led to improved productivity or a small number of new products.  Today, the Internet is fundamentally changing the way businesses interact with consumers and each other.  There is no doubt that these changes will lead to substantial value creation for the economy as a whole, but there is tremendous uncertainty about which business models and companies will succeed and how value will be distributed between businesses and consumers.  This uncertainty makes it extraordinarily difficult to measure the value of companies and has led to unprecedented high levels of volatility in the stock market.</w:t>
      </w:r>
    </w:p>
    <w:p>
      <w:pPr>
        <w:pStyle w:val="Heading3"/>
        <w:ind w:hanging="0" w:start="0"/>
        <w:rPr/>
      </w:pPr>
      <w:r>
        <w:rPr/>
        <w:t>Extraordinary Technological Change</w:t>
      </w:r>
    </w:p>
    <w:p>
      <w:pPr>
        <w:pStyle w:val="Normal"/>
        <w:rPr/>
      </w:pPr>
      <w:r>
        <w:rPr/>
        <w:t>The current wave of innovation centered around the Internet and telecommunications has four critical dimensions:  (1) the pace of technology diffusion, (2) the fundamental impact on business models, (3) opportunities for “winner take all” outcomes, and (4) the willingness of the capital markets to finance companies with limited track records.</w:t>
      </w:r>
    </w:p>
    <w:p>
      <w:pPr>
        <w:pStyle w:val="Normal"/>
        <w:rPr/>
      </w:pPr>
      <w:r>
        <w:rPr>
          <w:b/>
        </w:rPr>
        <w:t>Pace of technology diffusion.</w:t>
      </w:r>
      <w:r>
        <w:rPr/>
        <w:t xml:space="preserve">  The pace of technological development and diffusion is much faster than in the past.  This has resulted in the creation of new markets and new business models at lightning speed.  For example, worldwide Internet usage reached 10 million people around the world in only 4 years.  Past innovations like the telephone required 38 years and the fax machine required 22 years to reach an equal number of users.</w:t>
      </w:r>
    </w:p>
    <w:p>
      <w:pPr>
        <w:pStyle w:val="Normal"/>
        <w:rPr/>
      </w:pPr>
      <w:r>
        <w:rPr>
          <w:b/>
        </w:rPr>
        <w:t>Impact on business models.</w:t>
      </w:r>
      <w:r>
        <w:rPr/>
        <w:t xml:space="preserve">  New technologies are linking businesses to each other and to consumers, thus fundamentally changing the way business is conducted.  Past waves of innovations were more narrowly focused on specific products or improvements in manufacturing or back office operations.  For example, the computer manufacturer Dell has introduced a business model that links it directly to its end consumers and suppliers, thereby cutting out distributors and retailers and providing much quicker information about its component needs to its suppliers.  This approach has helped Dell operate with only 6 days sales in inventory compared with 30-60 days for similar manufacturers.  Because it manufactures to order, it also does not incur the costs of obsolete inventories.  Its approach has made it the most profitable manufacturer of PCs.</w:t>
      </w:r>
    </w:p>
    <w:p>
      <w:pPr>
        <w:pStyle w:val="Normal"/>
        <w:rPr/>
      </w:pPr>
      <w:r>
        <w:rPr>
          <w:b/>
        </w:rPr>
        <w:t xml:space="preserve">Opportunities for “winner take all” outcomes.  </w:t>
      </w:r>
      <w:r>
        <w:rPr/>
        <w:t>In a limited set of cases, new information related products are being developed where “demand side” economies of scale result in “winner take all” economic models.  On line auctions are a prominent example.  The largest auction house selling a particular category of product is more attractive to both buyers and sellers because of they have the most products to sell (attractive for buyers) and they have most buyers visiting their site (attractive for sellers).  As more sellers post their wares on the site, the site becomes more valuable to buyers.  More buyers, in turn, attract more sellers.  This creates a positive feedback loop, helping the leading auction site accelerate its growth much faster than competitors.</w:t>
      </w:r>
    </w:p>
    <w:p>
      <w:pPr>
        <w:pStyle w:val="Normal"/>
        <w:rPr/>
      </w:pPr>
      <w:r>
        <w:rPr/>
        <w:t>While we may see more of these “demand side economies” in Internet related products and services; they are still likely to be rare.</w:t>
      </w:r>
    </w:p>
    <w:p>
      <w:pPr>
        <w:pStyle w:val="Normal"/>
        <w:rPr/>
      </w:pPr>
      <w:r>
        <w:rPr>
          <w:b/>
        </w:rPr>
        <w:t>Willingness of capital markets to support very young companies.</w:t>
      </w:r>
      <w:r>
        <w:rPr/>
        <w:t xml:space="preserve">  The opportunities for value creation are so large that the capital markets have been willing to place very high values on companies with no track record or earnings history, only the potential to strike gold.  As a result, the capital markets have financed an unprecedented number of companies at earlier stages in their lives, rather than by venture capitalists and other private investors.  The willingness of the capital markets to finance these businesses has, in turn, also accelerated their growth.</w:t>
      </w:r>
    </w:p>
    <w:p>
      <w:pPr>
        <w:pStyle w:val="Heading3"/>
        <w:ind w:hanging="0" w:start="0"/>
        <w:rPr/>
      </w:pPr>
      <w:r>
        <w:rPr/>
        <w:t>Uncertain Winners and Losers</w:t>
      </w:r>
    </w:p>
    <w:p>
      <w:pPr>
        <w:pStyle w:val="Normal"/>
        <w:rPr/>
      </w:pPr>
      <w:r>
        <w:rPr/>
        <w:t>There is no doubt that these technological changes and resulting new products and services will create substantial value for the economy.  Not surprisingly, however, there is tremendous uncertainty about which business models, companies, and industries will capture a large share of the value for their shareholders.</w:t>
      </w:r>
    </w:p>
    <w:p>
      <w:pPr>
        <w:pStyle w:val="Normal"/>
        <w:rPr/>
      </w:pPr>
      <w:r>
        <w:rPr/>
        <w:t>One source of uncertainty is consumer behavior.  For example, will consumers prefer to shop in virtual malls or will they prefer specialist retailers?  Or perhaps there is room for both?  On one hand, the Internet favors companies who can develop strong brands and build customer relationships.  On the other hand, the Internet also makes it easy for the consumer to find the best specialist retailer for any product or service or to bypass the retailer completely and go directly to the producer.  Despite their early leads, Amazon.com quickly overtook both CDNow and e-Toys in their respective markets once Amazon decided to enter their markets.</w:t>
      </w:r>
    </w:p>
    <w:p>
      <w:pPr>
        <w:pStyle w:val="Normal"/>
        <w:rPr/>
      </w:pPr>
      <w:r>
        <w:rPr/>
        <w:t>Another source of uncertainty is the continued rapid pace of technological innovation.  Innovation can turn successful business models obsolete practically overnight.  For example, AOL has offered to pay a tremendous premium (and associated drop in its own share price) to purchase Time-Warner to get assured access to broadband distribution of its services.</w:t>
      </w:r>
    </w:p>
    <w:p>
      <w:pPr>
        <w:pStyle w:val="Normal"/>
        <w:rPr/>
      </w:pPr>
      <w:r>
        <w:rPr/>
        <w:t>A final source of uncertainty is competitive behavior itself.  It is impossible to predict when the best management team will stumble or when a weak competitor will make a brilliant move (either by keen insight, luck, or desperation).</w:t>
      </w:r>
    </w:p>
    <w:p>
      <w:pPr>
        <w:pStyle w:val="Normal"/>
        <w:rPr/>
      </w:pPr>
      <w:r>
        <w:rPr/>
        <w:t>As in past waves of innovation, most new companies will fail or be swallowed by stronger competitors, and many survivors will pass on most of the benefits from new products and markets to consumers, rather than their shareholders.  Only a small number are likely to create substantial shareholder value.  A study by Morgan Stanley in 199x showed that, prior to the current wave of Internet related IPOs, of x,xxx technology IPOs, only xx% of them created over xx% of the value for shareholders.  The results for the current round of IPOs are unlikely to be substantially different, in fact, more than xx% of Internet related IPOs are trading below their opening prices.</w:t>
      </w:r>
    </w:p>
    <w:p>
      <w:pPr>
        <w:pStyle w:val="Heading2"/>
        <w:ind w:hanging="0" w:start="0"/>
        <w:rPr/>
      </w:pPr>
      <w:r>
        <w:rPr/>
        <w:t>fundamental drivers of value have not changed</w:t>
      </w:r>
    </w:p>
    <w:p>
      <w:pPr>
        <w:pStyle w:val="Normal"/>
        <w:rPr/>
      </w:pPr>
      <w:r>
        <w:rPr/>
        <w:t>In this uncertain environment, it appears that the stock market may have initially overvalued emerging companies in the Internet market.   As in the past, however, we already see signs that the valuation of companies will ultimately reflect their potential to generate earnings and cash flows.</w:t>
      </w:r>
    </w:p>
    <w:p>
      <w:pPr>
        <w:pStyle w:val="Normal"/>
        <w:rPr/>
      </w:pPr>
      <w:r>
        <w:rPr/>
        <w:t>The uncertainty about consumer behavior, technology, and competitive dynamics is naturally reflected in the record high levels of volatility in the stock market, particularly the NASDAQ.  The Wall Street Journal noted that before 1998, there had never been a year where the NASDAQ index had more than 10 trading days when it when up or down more than 2%.  Yet in 1999, the NASDAQ index experienced 25 days where it went up or down more than 2% and in the first 8 months of 2000, the index experienced over 90 such days.</w:t>
      </w:r>
    </w:p>
    <w:p>
      <w:pPr>
        <w:pStyle w:val="Normal"/>
        <w:rPr/>
      </w:pPr>
      <w:r>
        <w:rPr/>
        <w:t>It also appears that even even the most optimistic economic outlook could not justify the valuations of many Internet companies during 1999 and early in 2000.  Many of these companies are now trading at only 10% to 30% of their highs.  There have been many explanations for this “irrationality” in the market.</w:t>
      </w:r>
    </w:p>
    <w:p>
      <w:pPr>
        <w:pStyle w:val="01parapoint"/>
        <w:numPr>
          <w:ilvl w:val="0"/>
          <w:numId w:val="13"/>
        </w:numPr>
        <w:ind w:hanging="0" w:start="0"/>
        <w:rPr/>
      </w:pPr>
      <w:r>
        <w:rPr/>
        <w:t>Some observers point to the emergence of unsophisticated individual investors, particularly day traders, as trading became very inexpensive, and the amount of investment information available on the Internet exploded.  It can be argued that these traders are generating tremendous trading volume leading to unrealistically high prices.</w:t>
      </w:r>
    </w:p>
    <w:p>
      <w:pPr>
        <w:pStyle w:val="01parapoint"/>
        <w:numPr>
          <w:ilvl w:val="0"/>
          <w:numId w:val="13"/>
        </w:numPr>
        <w:ind w:hanging="0" w:start="0"/>
        <w:rPr/>
      </w:pPr>
      <w:r>
        <w:rPr/>
        <w:t>Others cite the imbalance between the supply and demand for shares of Internet companies.  Many companies have gone public with less than 20% of their shares available to outside investors.  Many investors wanted to buy these shares but the supply was artificially limited.</w:t>
      </w:r>
    </w:p>
    <w:p>
      <w:pPr>
        <w:pStyle w:val="01parapoint"/>
        <w:numPr>
          <w:ilvl w:val="0"/>
          <w:numId w:val="13"/>
        </w:numPr>
        <w:ind w:hanging="0" w:start="0"/>
        <w:rPr/>
      </w:pPr>
      <w:r>
        <w:rPr/>
        <w:t>Some blame the securities analysts at investment banks.  They argue that the analysts’ objectivity may have been compromised by their need to support the investment banking side of their firms.</w:t>
      </w:r>
    </w:p>
    <w:p>
      <w:pPr>
        <w:pStyle w:val="01parapoint"/>
        <w:numPr>
          <w:ilvl w:val="0"/>
          <w:numId w:val="13"/>
        </w:numPr>
        <w:ind w:hanging="0" w:start="0"/>
        <w:rPr/>
      </w:pPr>
      <w:r>
        <w:rPr/>
        <w:t>Finally, some blame a general speculative fever.</w:t>
      </w:r>
    </w:p>
    <w:p>
      <w:pPr>
        <w:pStyle w:val="Normal"/>
        <w:rPr/>
      </w:pPr>
      <w:r>
        <w:rPr/>
        <w:t>These explanations might hold some truth.  History suggests, however, that we should not be surprised by episodes of market “irrationality”.  One of the most recent experiences was the biotechnology bubble in 19xx.  There we experienced an initial market euphoria as the world became excited about the potential for biotech innovation to radically change the way we treated medical problems.  The initial euphoria, however, was followed by the realization that it would take a long time for biotech promises to turn into products and cash flow.  As always, fundamental economics prevailed in the end.</w:t>
      </w:r>
    </w:p>
    <w:p>
      <w:pPr>
        <w:pStyle w:val="Normal"/>
        <w:rPr/>
      </w:pPr>
      <w:r>
        <w:rPr/>
        <w:t>We expect that the same patterns will hold in the Internet world.  After a short period of euphoria, market values will be driven by economic fundamentals.  A company’s value will be driven by its potential to generate profits and cash flow for its shareholders.  It appears that this may have already happened in the business-to-consumer markets as the market values of marginal competitors have dropped significantly and the market seems to be more capable of differentiating the long-term winners and losers.</w:t>
      </w:r>
    </w:p>
    <w:p>
      <w:pPr>
        <w:pStyle w:val="Heading2"/>
        <w:ind w:hanging="0" w:start="0"/>
        <w:rPr/>
      </w:pPr>
      <w:r>
        <w:rPr/>
        <w:t>enhanced corporate disclosure will not substantially reduce volatility or create level playing field</w:t>
      </w:r>
    </w:p>
    <w:p>
      <w:pPr>
        <w:pStyle w:val="Normal"/>
        <w:rPr/>
      </w:pPr>
      <w:r>
        <w:rPr/>
        <w:t xml:space="preserve">As the panel discussed the concerns that led to the creation of this panel (high volatility and an uneven playing field), there was agreement that improved corporate disclosure was only a small part of the solution to these issues.  </w:t>
      </w:r>
    </w:p>
    <w:p>
      <w:pPr>
        <w:pStyle w:val="Heading3"/>
        <w:ind w:hanging="0" w:start="0"/>
        <w:rPr/>
      </w:pPr>
      <w:r>
        <w:rPr/>
        <w:t>Volatility</w:t>
      </w:r>
    </w:p>
    <w:p>
      <w:pPr>
        <w:pStyle w:val="Normal"/>
        <w:rPr/>
      </w:pPr>
      <w:r>
        <w:rPr/>
        <w:t>The volatility of the stock market is largely driven by the underlying uncertainty about the future performance of companies and the economy as a whole.  The senior managers of most Internet companies cannot accurately predict how their companies will perform over the longer term.  Therefore, even if investors had as much information about companies as their managers did, the uncertainty and volatility in the stock market would not be significantly reduced.  Furthermore, the panel does not believe that enhanced</w:t>
      </w:r>
      <w:r>
        <w:rPr>
          <w:lang w:eastAsia="en-US"/>
        </w:rPr>
        <w:t xml:space="preserve"> disclosure by companies would have altered the boom and bust we experienced in late 1999 and early 2000 in a large number of Internet shares.  </w:t>
      </w:r>
    </w:p>
    <w:p>
      <w:pPr>
        <w:pStyle w:val="Heading3"/>
        <w:ind w:hanging="0" w:start="0"/>
        <w:rPr>
          <w:lang w:eastAsia="en-US"/>
        </w:rPr>
      </w:pPr>
      <w:r>
        <w:rPr>
          <w:lang w:eastAsia="en-US"/>
        </w:rPr>
        <w:t>Level Playing Field</w:t>
      </w:r>
    </w:p>
    <w:p>
      <w:pPr>
        <w:pStyle w:val="Normal"/>
        <w:rPr/>
      </w:pPr>
      <w:r>
        <w:rPr/>
        <w:t xml:space="preserve">The perceived unlevel playing field is largely unrelated to company disclosures.  Professional securities analysts and their clients have a number of advantages over individual investors.  While companies can provide raw information to investors, analysis and synthesis that integrates company information with industry knowledge drives informed investment decisions.  Professional analysts have the skills, experience, access to management and industry contacts to assemble and critically assess the information from companies to make fully informed investment recommendations.  They are also able to assess the management through direct contacts.  This costly analysis is typically available to large investors only, those who can hire analysts or purchase outside research. </w:t>
      </w:r>
    </w:p>
    <w:p>
      <w:pPr>
        <w:pStyle w:val="Normal"/>
        <w:rPr/>
      </w:pPr>
      <w:r>
        <w:rPr/>
        <w:t>In addition, professional analysts are “in the information flow” and, therefore are likely to learn about company developments sooner than small investors.  They may also be able to better interpret company statements or read between the lines in company statements or press releases.</w:t>
      </w:r>
    </w:p>
    <w:p>
      <w:pPr>
        <w:pStyle w:val="Normal"/>
        <w:rPr/>
      </w:pPr>
      <w:r>
        <w:rPr/>
        <w:t>There is great concern these days about whether securities analysts employed by the leading investment banks are truly unbiased in their recommendations.  More and more, analysts are critical in helping the investment banking side of their firms bring in clients.  Analysts face two issues when they write unfavorable reports.  First, they risk being cut off from access to management.  Second, they could risk losing the client for advisory and capital raising fees.  As a result, it is well known that analysts rarely issue “sell” recommendations.</w:t>
      </w:r>
    </w:p>
    <w:p>
      <w:pPr>
        <w:pStyle w:val="Normal"/>
        <w:rPr>
          <w:color w:val="000000"/>
          <w:lang w:eastAsia="en-US"/>
        </w:rPr>
      </w:pPr>
      <w:r>
        <w:rPr/>
        <w:t>These issues around the structure of the stock market are important.  However, the panel believes that changes in company disclosure will not eliminate this advantage for large investors.  Furthermore, attempts to level the playing field could make the problem worse.  It could actually inhibit the free flow of information or it could lead to a deluge of useless boilerplate information that confuses small investors.</w:t>
      </w:r>
    </w:p>
    <w:p>
      <w:pPr>
        <w:pStyle w:val="Normal"/>
        <w:rPr/>
      </w:pPr>
      <w:r>
        <w:rPr/>
        <w:t>Finally, it is not clear that many smaller investors would make use of improved company disclosure.  The percentage of trading conducted by individual investors is growing relative to institutional investors.  This is more pronounced in Internet shares. [</w:t>
      </w:r>
      <w:r>
        <w:rPr>
          <w:i/>
        </w:rPr>
        <w:t>cite statistics</w:t>
      </w:r>
      <w:r>
        <w:rPr/>
        <w:t>].  Yet, many of these individual investors are either unsophisticated (wanting to make some money on the latest sure thing) or technical traders (wanting to make money on the volatility of shares during the day rather than investors for the long term based on the fundamentals of the company).  It is not clear that these individual investors will make use of improved disclosure.</w:t>
      </w:r>
    </w:p>
    <w:p>
      <w:pPr>
        <w:pStyle w:val="Heading2"/>
        <w:ind w:hanging="0" w:start="0"/>
        <w:rPr/>
      </w:pPr>
      <w:r>
        <w:rPr/>
        <w:t>market forces leading to innovative new disclosures</w:t>
      </w:r>
    </w:p>
    <w:p>
      <w:pPr>
        <w:pStyle w:val="Normal"/>
        <w:rPr/>
      </w:pPr>
      <w:r>
        <w:rPr/>
        <w:t>As investors tackle the challenge of valuing companies, historical financial information has become less relevant as an indicator of a company’s ability to create value in the future.  It used to be that historical financial performance provided a strong indication of future financial performance.  Investors could build their expectations off of historical financial performance, supplemented by information about the quality of management and the future competitive landscape of the industry.  The financial statements of newer companies, however, provide little guidance about their long-term potential.  While investors have always used non-financial measures, their importance has been magnified by the reduced relevance of historical financial statements.</w:t>
      </w:r>
    </w:p>
    <w:p>
      <w:pPr>
        <w:pStyle w:val="Normal"/>
        <w:rPr/>
      </w:pPr>
      <w:r>
        <w:rPr/>
        <w:t xml:space="preserve">An example of a hypothetical Internet retailer shows how this works.  To assess the value of the company, an investor needs to estimate how much revenue, profit and cash flow the company might be able to earn in the future when it begins to mature (say 5 to 10 years out).  To estimate revenues, the investor needs to estimate the potential size of market the company is pursuing and the company’s potential market share.  To estimate these parameters, the investor would like to know how the company is currently doing relative to its peers.  How many potential customers visit its site, how many visitors make a purchase, what is the average purchase size, how many customers are repeat customers? Seeing how the company’s performance on these measures is developing over time and relative to its competitors can help the investor assess its potential future revenues.  </w:t>
      </w:r>
    </w:p>
    <w:p>
      <w:pPr>
        <w:pStyle w:val="Normal"/>
        <w:rPr/>
      </w:pPr>
      <w:r>
        <w:rPr/>
        <w:t xml:space="preserve">Will companies voluntarily disclose valuable non-financial information to help investors understand their future performance?  There is growing evidence that companies in all industries are responding to investor demands for more information.  A group led by the FASB will issue a report in 2001 that documents many of the voluntary disclosures made by companies in x different industries.     </w:t>
      </w:r>
    </w:p>
    <w:p>
      <w:pPr>
        <w:pStyle w:val="Normal"/>
        <w:rPr/>
      </w:pPr>
      <w:r>
        <w:rPr/>
        <w:t>There are many examples in the Internet world where companies provide substantial non-financial information to help investors understand their potential for long term revenues and profits:</w:t>
      </w:r>
    </w:p>
    <w:p>
      <w:pPr>
        <w:pStyle w:val="01parapoint"/>
        <w:numPr>
          <w:ilvl w:val="0"/>
          <w:numId w:val="13"/>
        </w:numPr>
        <w:ind w:hanging="0" w:start="0"/>
        <w:rPr/>
      </w:pPr>
      <w:r>
        <w:rPr/>
        <w:t>Amazon.com releases figures for how many new customers it added in the last quarter, number of unique visitors, what percent of customers were repeat buyers, how many new “stores” it opened, and what new partnerships it has formed.</w:t>
      </w:r>
    </w:p>
    <w:p>
      <w:pPr>
        <w:pStyle w:val="01parapoint"/>
        <w:numPr>
          <w:ilvl w:val="0"/>
          <w:numId w:val="13"/>
        </w:numPr>
        <w:ind w:hanging="0" w:start="0"/>
        <w:rPr/>
      </w:pPr>
      <w:r>
        <w:rPr/>
        <w:t>E-bay, the on-line auction house releases figures for total transaction volume, number of auctions hosted, and average transaction size.</w:t>
      </w:r>
    </w:p>
    <w:p>
      <w:pPr>
        <w:pStyle w:val="01parapoint"/>
        <w:numPr>
          <w:ilvl w:val="0"/>
          <w:numId w:val="13"/>
        </w:numPr>
        <w:ind w:hanging="0" w:start="0"/>
        <w:rPr/>
      </w:pPr>
      <w:r>
        <w:rPr/>
        <w:t>E-trade, the on-line broker, releases figures for new accounts, acquisition costs per account, average number of transactions per day, page views, size of assets held in customer accounts.</w:t>
      </w:r>
    </w:p>
    <w:p>
      <w:pPr>
        <w:pStyle w:val="Normal"/>
        <w:rPr/>
      </w:pPr>
      <w:r>
        <w:rPr/>
        <w:t>These voluntary disclosures tend to evolve over time as companies and investors learn from each other what is important for valuation.  A good example of this evolutionary process is the pharmaceutical industry.  [Fill in short paragraph describing the evolution of information in the industry]</w:t>
      </w:r>
    </w:p>
    <w:p>
      <w:pPr>
        <w:pStyle w:val="Normal"/>
        <w:rPr/>
      </w:pPr>
      <w:r>
        <w:rPr/>
        <w:t>Why should companies voluntarily provide this information?  CEOs want a high share value.  A higher share value leads to better compensation, higher values for their share options, better press coverage and more flexibility to build their business.  So companies compete for investors just like they compete for customers.  If a company has a good story to tell, it’s to their benefit to provide investors with the data to support their story.  Investors, on the other hand, are suspicious of companies that are unwilling to provide adequate data.  The logical conclusion is that tight-lipped companies must be hiding some bad news (although in some cases competitive issues favor secrecy).</w:t>
      </w:r>
    </w:p>
    <w:p>
      <w:pPr>
        <w:pStyle w:val="Normal"/>
        <w:rPr/>
      </w:pPr>
      <w:r>
        <w:rPr/>
        <w:t>While not all companies are forthcoming to investors, and companies will naturally try to emphasize information that makes them look good, overall the panel believes that market forces are very effective at encouraging effective disclosure by companies.</w:t>
      </w:r>
    </w:p>
    <w:p>
      <w:pPr>
        <w:pStyle w:val="Heading2"/>
        <w:ind w:hanging="0" w:start="0"/>
        <w:rPr/>
      </w:pPr>
      <w:r>
        <w:rPr/>
        <w:t>Supportive Environment best way to ensure quality disclosure</w:t>
      </w:r>
    </w:p>
    <w:p>
      <w:pPr>
        <w:pStyle w:val="Normal"/>
        <w:rPr/>
      </w:pPr>
      <w:r>
        <w:rPr/>
        <w:t xml:space="preserve">The panel members applaud the trends in enhanced corporate disclosure that are happening voluntarily and agree that even more can be done.  The panel ultimately believes that better disclosure of information most relevant to investors was likely to be best accomplished, through the creation of an “environment” that encourages companies to disclose information demanded by investors.  Additional regulations are not likely to lead to better disclosure. </w:t>
      </w:r>
    </w:p>
    <w:p>
      <w:pPr>
        <w:pStyle w:val="Normal"/>
        <w:rPr/>
      </w:pPr>
      <w:r>
        <w:rPr/>
        <w:t>Managers have strong incentives to maximize their company’s share price which means competing not only for customers but also for investors.  As a result, investors and professional analysts have considerable influence on what companies disclose.  Analysts also have strong incentives to search out information to get an edge for their clients.  This interaction creates a powerful market for information about companies.</w:t>
      </w:r>
    </w:p>
    <w:p>
      <w:pPr>
        <w:pStyle w:val="Normal"/>
        <w:rPr/>
      </w:pPr>
      <w:r>
        <w:rPr/>
        <w:t xml:space="preserve">In today’s legal environment, however, companies often are advised against what might be useful disclosures for fear of lawsuits.  As a results, companies hold back disclosures or they end up provide useless boilerplate disclosures.  For example, it is not uncommon now for the risk factor section of IPO prospectuses to include more than 10 (check) pages of every imaginable risk, typically building on what other companies have disclosed, rather than focusing on the key issues facing the company. </w:t>
      </w:r>
    </w:p>
    <w:p>
      <w:pPr>
        <w:pStyle w:val="Normal"/>
        <w:rPr/>
      </w:pPr>
      <w:r>
        <w:rPr/>
        <w:t>Clearly, the legal framework should protect investors against fraud, but there needs to be a balance between protecting investors from the small number of companies that will deliberately mislead investors and the benefits to most investors and companies from improved disclosure.  It appears to many panel members that right now the system is not balanced and that it creates risks for companies seeking to communicate honestly with investors.</w:t>
      </w:r>
    </w:p>
    <w:p>
      <w:pPr>
        <w:pStyle w:val="Normal"/>
        <w:rPr/>
      </w:pPr>
      <w:r>
        <w:rPr/>
        <w:t>The panel members are not lawyers and, therefore, are not in a position to make specific recommendations to enhance the reporting environment.  However, one area that appeared to be worthy of further consideration would be the expansion of the safe harbor rules that were issued in 199x.  For example, the safe harbor rules could be expanded to include non-financial as well as forward looking financial information.  It could also cover certain information posted on a company’s web site.  In addition, legal suits should be limited to the SEC, not private investors.  (Some panel members expressed that additional view that the SEC itself has been too quick to take action against companies, thereby not setting the right atmosphere).  [Need to build this up more]</w:t>
      </w:r>
    </w:p>
    <w:p>
      <w:pPr>
        <w:pStyle w:val="Heading2"/>
        <w:ind w:hanging="0" w:start="0"/>
        <w:rPr/>
      </w:pPr>
      <w:r>
        <w:rPr/>
        <w:t>voluntary disclosure of operating measures encouraged</w:t>
      </w:r>
    </w:p>
    <w:p>
      <w:pPr>
        <w:pStyle w:val="Normal"/>
        <w:rPr>
          <w:lang w:eastAsia="en-US"/>
        </w:rPr>
      </w:pPr>
      <w:r>
        <w:rPr>
          <w:lang w:eastAsia="en-US"/>
        </w:rPr>
        <w:t>The panel holds a strong belief that companies should disclose important non-financial information, such as operating metrics, intangible assets and other information that can help investors assess the future financial performance of a company.  Operating metrics refers to information, such a number of customers, revenues per customer, that managers and investors can use as leading indicators of future financial performance.  As we described earlier on page x, some companies already provide substantial information to investors that managers themselves use to manage the company.  The panel believes that such disclosures are generally good not only for investors but also for companies seeking to maximize the long term performance of their share price (of course companies also have to consider whether any particular disclosures would help their competitors).</w:t>
      </w:r>
    </w:p>
    <w:p>
      <w:pPr>
        <w:pStyle w:val="Normal"/>
        <w:rPr>
          <w:lang w:eastAsia="en-US"/>
        </w:rPr>
      </w:pPr>
      <w:r>
        <w:rPr>
          <w:lang w:eastAsia="en-US"/>
        </w:rPr>
        <w:t>However, the panel does not believe that additional regulated disclosures will lead to companies providing significantly more useful information to investors.  Our point of view is driven by three arguments:</w:t>
      </w:r>
    </w:p>
    <w:p>
      <w:pPr>
        <w:pStyle w:val="05number1"/>
        <w:rPr>
          <w:lang w:eastAsia="en-US"/>
        </w:rPr>
      </w:pPr>
      <w:r>
        <w:rPr>
          <w:lang w:eastAsia="en-US"/>
        </w:rPr>
        <w:t>1.</w:t>
        <w:tab/>
        <w:t>The most useful disclosures are specific to the industry and company.  To be effective, regulated disclosure requirements would have to be precisely defined for several hundred (or thousand) industry segments, which is clearly impractical.</w:t>
      </w:r>
    </w:p>
    <w:p>
      <w:pPr>
        <w:pStyle w:val="05number1"/>
        <w:rPr>
          <w:lang w:eastAsia="en-US"/>
        </w:rPr>
      </w:pPr>
      <w:r>
        <w:rPr>
          <w:lang w:eastAsia="en-US"/>
        </w:rPr>
        <w:t>2.</w:t>
        <w:tab/>
        <w:t>Even if regulations could be written that covered the multitude of industries, in many industries the pace of change is so rapid that it is unlikely that regulators could actually change the disclosures quickly enough to keep up with the needs of investors.</w:t>
      </w:r>
    </w:p>
    <w:p>
      <w:pPr>
        <w:pStyle w:val="05number1"/>
        <w:rPr>
          <w:lang w:eastAsia="en-US"/>
        </w:rPr>
      </w:pPr>
      <w:r>
        <w:rPr>
          <w:lang w:eastAsia="en-US"/>
        </w:rPr>
        <w:t>3.</w:t>
        <w:tab/>
        <w:t>The market for information is very competitive already.  Analysts are always asking companies for better information to help them assess a company’s value.  Companies that don’t work with analysts run the risk of lower share values.</w:t>
      </w:r>
    </w:p>
    <w:p>
      <w:pPr>
        <w:pStyle w:val="Normal"/>
        <w:rPr/>
      </w:pPr>
      <w:r>
        <w:rPr/>
        <w:t>[</w:t>
      </w:r>
      <w:r>
        <w:rPr>
          <w:i/>
        </w:rPr>
        <w:t>To panel members, the following is a suggestion that has not been discussed by the panel as a whole.  We would like to get your reaction.]</w:t>
      </w:r>
    </w:p>
    <w:p>
      <w:pPr>
        <w:pStyle w:val="Normal"/>
        <w:rPr/>
      </w:pPr>
      <w:r>
        <w:rPr/>
        <w:t>[While not favoring specific mandated disclosures, the panel would favor a process where companies themselves chose 5-10 key performance measures that they would regularly report to investors.  Companies would select 5-10 key operating performance measures (such as revenues per customer) and explain in detail how the measure was calculated.  They would report these measures on a regular basis (probably quarterly).  If they decided to change how a measure was calculated or replace a measure with a new measure, they would need to disclose the reasons for the change and provide some historical perspective on the new measure).]</w:t>
      </w:r>
    </w:p>
    <w:p>
      <w:pPr>
        <w:pStyle w:val="Normal"/>
        <w:rPr/>
      </w:pPr>
      <w:r>
        <w:rPr/>
        <w:t>[The purpose of this proposal would be to encourage companies to identify what they believe are the key performance indicators for the company and to help investors compare across companies by asking companies to define how a measure was calculated.  As investors became familiar comparing measures across companies, they would likely put pressure on companies in the same industry to report on the same measures, calculated in a similar way.  Thus, over time, most of the companies in an industry would probably report similar measures consistently calculated.]</w:t>
      </w:r>
    </w:p>
    <w:p>
      <w:pPr>
        <w:pStyle w:val="Heading2"/>
        <w:ind w:hanging="0" w:start="0"/>
        <w:rPr>
          <w:lang w:eastAsia="en-US"/>
        </w:rPr>
      </w:pPr>
      <w:r>
        <w:rPr>
          <w:lang w:eastAsia="en-US"/>
        </w:rPr>
        <w:t>Using the Internet to communicate with investors</w:t>
      </w:r>
    </w:p>
    <w:p>
      <w:pPr>
        <w:pStyle w:val="Normal"/>
        <w:rPr/>
      </w:pPr>
      <w:r>
        <w:rPr/>
        <w:t>The Internet is also changing the way information is supplied to investors.  Through their web sites, companies can now, at virtually no cost, make information available to all investors immediately and simultaneously.  Furthermore, the elimination of the need to print and mail documents means that companies can easily provide more information to investors at no incremental cost.</w:t>
      </w:r>
    </w:p>
    <w:p>
      <w:pPr>
        <w:pStyle w:val="Normal"/>
        <w:rPr/>
      </w:pPr>
      <w:r>
        <w:rPr/>
        <w:t>Internet technology and the explosion of interest in Internet companies has also led to more information being made available to investors about companies from third parties.  In addition to information from companies themselves, investors can learn both facts and opinions about companies from business oriented television networks, investor oriented websites, investor chat rooms, fact oriented web sites (e.g., Bloomberg, Bridge, etc.).  The volume of information that investors can access can be overwhelming.</w:t>
      </w:r>
    </w:p>
    <w:p>
      <w:pPr>
        <w:pStyle w:val="Normal"/>
        <w:rPr/>
      </w:pPr>
      <w:r>
        <w:rPr/>
        <w:t>Many companies have moved swiftly ahead in experimenting with ways to use the Internet.  The panel hopes that this trend spreads quickly.  While there will inevitably be a learning period as companies and investors learn best how to take advantage of the new technologies for investor communications, certain steps can be taken now.</w:t>
      </w:r>
    </w:p>
    <w:p>
      <w:pPr>
        <w:pStyle w:val="Normal"/>
        <w:rPr>
          <w:lang w:eastAsia="en-US"/>
        </w:rPr>
      </w:pPr>
      <w:r>
        <w:rPr>
          <w:lang w:eastAsia="en-US"/>
        </w:rPr>
        <w:t>First, the panel supports simultaneous disclosure of key information to all investors via a company’s web site.  There needs to be a clear dividing line, however, that delineates what must be simultaneously disclosed to all investors over the Internet and private one-to-one conversations.  We would favor limiting immediate disclosure to information that will be in the public domain anyway.  Simultaneous disclosure would probably include SEC filings, annual and quarterly reports, press releases, transcripts of investor presentations (with more than 10 in attendance), conference call recordings or transcripts.</w:t>
      </w:r>
    </w:p>
    <w:p>
      <w:pPr>
        <w:pStyle w:val="Normal"/>
        <w:rPr>
          <w:lang w:eastAsia="en-US"/>
        </w:rPr>
      </w:pPr>
      <w:r>
        <w:rPr>
          <w:lang w:eastAsia="en-US"/>
        </w:rPr>
        <w:t>Second, the panel encourages experimentation with using the Internet for two-way communication between companies and investors.  Typically only professional securities analysts and institutional investors have been able to ask managers questions.  While it would be infeasible for managers to sit down with every investor, there might be ways that companies could use the Internet to provide two-way communication with investors.  For example, the company could post each week or month the 10-20 most frequently asked questions and answers.  The company could also commit to posting frequently asked questions that it did not want to answer and explain why (or not as the case may be).</w:t>
      </w:r>
    </w:p>
    <w:p>
      <w:pPr>
        <w:pStyle w:val="Heading2"/>
        <w:ind w:hanging="0" w:start="0"/>
        <w:rPr>
          <w:lang w:eastAsia="en-US"/>
        </w:rPr>
      </w:pPr>
      <w:r>
        <w:rPr>
          <w:lang w:eastAsia="en-US"/>
        </w:rPr>
        <w:t>other ideas examined</w:t>
      </w:r>
    </w:p>
    <w:p>
      <w:pPr>
        <w:pStyle w:val="Normal"/>
        <w:rPr>
          <w:lang w:eastAsia="en-US"/>
        </w:rPr>
      </w:pPr>
      <w:r>
        <w:rPr>
          <w:lang w:eastAsia="en-US"/>
        </w:rPr>
        <w:t>The panel examined many ideas that were either rejected by the panel or where consensus was not achieved.  This section discusses those ideas.</w:t>
      </w:r>
    </w:p>
    <w:p>
      <w:pPr>
        <w:pStyle w:val="Heading3"/>
        <w:ind w:hanging="0" w:start="0"/>
        <w:rPr>
          <w:lang w:eastAsia="en-US"/>
        </w:rPr>
      </w:pPr>
      <w:r>
        <w:rPr>
          <w:lang w:eastAsia="en-US"/>
        </w:rPr>
        <w:t xml:space="preserve">Third Party Verification  </w:t>
      </w:r>
    </w:p>
    <w:p>
      <w:pPr>
        <w:pStyle w:val="Normal"/>
        <w:rPr/>
      </w:pPr>
      <w:r>
        <w:rPr/>
        <w:t>It has been suggested that investors could benefit from some form of third party verification of non-financial information, similar to the way auditing firms provide opinions on financial statements.  Currently, information on key operating metrics or market size data is provided voluntarily by companies based on their own internal definitions, with no external verification.  While companies today can be penalized for providing fraudulent information to investors, operating data is not standardized and therefore may not be comparable across companies.  Furthermore, companies have substantial freedom to report information that while not fraudulent, could be misinterpreted by investors.</w:t>
      </w:r>
    </w:p>
    <w:p>
      <w:pPr>
        <w:pStyle w:val="Normal"/>
        <w:rPr/>
      </w:pPr>
      <w:r>
        <w:rPr/>
        <w:t>The panel did not endorse third party verification of non-financial information.  The panel believes that third party verification would not significantly improve the quality of information provided by companies to investors and the costs to companies would be substantial.  Furthermore, such a requirement would likely reduce the amount of information that companies disclose.</w:t>
      </w:r>
    </w:p>
    <w:p>
      <w:pPr>
        <w:pStyle w:val="Heading3"/>
        <w:ind w:hanging="0" w:start="0"/>
        <w:rPr/>
      </w:pPr>
      <w:r>
        <w:rPr/>
        <w:t>Valuation of Intangible Assets</w:t>
      </w:r>
    </w:p>
    <w:p>
      <w:pPr>
        <w:pStyle w:val="Normal"/>
        <w:rPr/>
      </w:pPr>
      <w:r>
        <w:rPr/>
        <w:t>Intangible assets, such as specific technologies, intellectual property, technological capabilities, brands, business processes, customer information and alliances, are the means by which companies create attractive products or services for customers.  These are particularly important for technology based companies.  Intangible assets are clearly a key driver of a company’s value.  As a result, a number of academics and practitioners have begun to explore ways to value a company’s intangible assets.  Unfortunately, at the present time, valuation of intangible assets in a consistent and meaningful way is not practical.  As a result, the panel is not comfortable endorsing any particular method.</w:t>
      </w:r>
    </w:p>
    <w:p>
      <w:pPr>
        <w:pStyle w:val="Normal"/>
        <w:rPr/>
      </w:pPr>
      <w:r>
        <w:rPr/>
        <w:t>Intangible assets are clearly important in the valuation of companies, but in most cases only the company itself knows what are its most important intangible assets.  Often, the most important intangible is the company’s ability to bring together and exploit an entire set of intangibles, not the intangibles themselves.  For example, the most important intangibles for a drug company may not be its specific patents, but rather its organizational ability to generate new drug ideas, and to successfully bring those ideas to market.  Accordingly, companies should be encouraged to disclose as much information about intangibles as possible, but standardized approaches and valuation should not be required.</w:t>
      </w:r>
    </w:p>
    <w:p>
      <w:pPr>
        <w:pStyle w:val="Heading3"/>
        <w:ind w:hanging="0" w:start="0"/>
        <w:rPr/>
      </w:pPr>
      <w:r>
        <w:rPr/>
        <w:t>Additional Disclosures About Management</w:t>
      </w:r>
    </w:p>
    <w:p>
      <w:pPr>
        <w:pStyle w:val="Normal"/>
        <w:rPr/>
      </w:pPr>
      <w:r>
        <w:rPr/>
        <w:t>For most investors and venture capitalists, the quality of management is often the most important determinant of investment decisions.  The panel discussed whether additional disclosures about management would be beneficial.  These additional disclosures might include: record of past success and failures, how much time they would devote to the company, a summary of employment contracts.</w:t>
      </w:r>
    </w:p>
    <w:p>
      <w:pPr>
        <w:pStyle w:val="Normal"/>
        <w:rPr/>
      </w:pPr>
      <w:r>
        <w:rPr/>
        <w:t>The panel did not reach a consensus on whether additional disclosures would be helpful.  Some of the panel members believed that the most important qualities of a management team could not captured in his/her past record or by information about employment contracts.</w:t>
      </w:r>
    </w:p>
    <w:p>
      <w:pPr>
        <w:pStyle w:val="Heading3"/>
        <w:ind w:hanging="0" w:start="0"/>
        <w:rPr/>
      </w:pPr>
      <w:r>
        <w:rPr/>
        <w:t>Disclosures about Founding Investors</w:t>
      </w:r>
    </w:p>
    <w:p>
      <w:pPr>
        <w:pStyle w:val="Normal"/>
        <w:rPr/>
      </w:pPr>
      <w:r>
        <w:rPr/>
        <w:t xml:space="preserve">For younger companies, the background and intentions of the founding investors is extremely important to new investors.  The founding investors often help management develop the company.  Venture capitalists and other founding investors also develop reputations for spotting attractive investments.  However, the interests of the founding investors are not always in line with those of the public market investors.  Accordingly, the panel members discussed whether the following disclosure should be considered:  (1) Track record of founding investors, (2) How long do founding investors typically hold shares after an IPO? (3) What are founding investors’ intentions with respect to selling shares in this company?  This information could be disclosed in the IPO prospectus and updated in annual and quarterly reports. </w:t>
      </w:r>
    </w:p>
    <w:p>
      <w:pPr>
        <w:pStyle w:val="Normal"/>
        <w:rPr/>
      </w:pPr>
      <w:r>
        <w:rPr/>
        <w:t>The panel did not reach a consensus on this issue.  Some panel members believed that the track record and intentions of founding investors are private matters and should be disclosed on a voluntary basis only.  Mandating such disclosure might limit the pool of capital available to some companies, as start-up investors would be less willing to take risks and publicize their investments.</w:t>
      </w:r>
    </w:p>
    <w:p>
      <w:pPr>
        <w:pStyle w:val="Heading3"/>
        <w:ind w:hanging="0" w:start="0"/>
        <w:rPr/>
      </w:pPr>
      <w:r>
        <w:rPr/>
        <w:t>Reporting on Insider Transactions</w:t>
      </w:r>
    </w:p>
    <w:p>
      <w:pPr>
        <w:pStyle w:val="Normal"/>
        <w:rPr/>
      </w:pPr>
      <w:r>
        <w:rPr/>
        <w:t>The panel discussed delays in the disclosure of insider trading activity render the information useless in today’s fast paced Internet world.  Therefore, insiders should provide full and immediate disclosure of insider trades.  The panel did not reach a consensus on this issue.  Several panel members believed that current system of insider trading disclosure appropriately balances the needs of public investors and the privacy of insiders.</w:t>
      </w:r>
    </w:p>
    <w:p>
      <w:pPr>
        <w:pStyle w:val="Heading2"/>
        <w:ind w:hanging="0" w:start="0"/>
        <w:rPr/>
      </w:pPr>
      <w:r>
        <w:rPr/>
        <w:t>Additional views of panelists</w:t>
      </w:r>
    </w:p>
    <w:p>
      <w:pPr>
        <w:pStyle w:val="39restrictivenote"/>
        <w:rPr/>
      </w:pPr>
      <w:r>
        <w:rPr/>
        <w:t xml:space="preserve">[This is where panelists could submit their views regarding GAAP and the new Fair Disclosure rule or any other issue.] </w:t>
      </w:r>
    </w:p>
    <w:p>
      <w:pPr>
        <w:pStyle w:val="Heading2"/>
        <w:ind w:hanging="0" w:start="0"/>
        <w:rPr/>
      </w:pPr>
      <w:r>
        <w:rPr/>
        <w:t>issues to be further explored and by whom</w:t>
      </w:r>
    </w:p>
    <w:p>
      <w:pPr>
        <w:pStyle w:val="39restrictivenote"/>
        <w:rPr/>
      </w:pPr>
      <w:r>
        <w:rPr/>
        <w:t>[For panel member reaction:  We could suggest the following:</w:t>
      </w:r>
    </w:p>
    <w:p>
      <w:pPr>
        <w:pStyle w:val="01parapoint"/>
        <w:numPr>
          <w:ilvl w:val="0"/>
          <w:numId w:val="13"/>
        </w:numPr>
        <w:ind w:hanging="0" w:start="0"/>
        <w:rPr>
          <w:i/>
          <w:i/>
        </w:rPr>
      </w:pPr>
      <w:r>
        <w:rPr>
          <w:i/>
        </w:rPr>
        <w:t>Encourage a group to examine how to improve the “environment for disclosure.”  The group probably should include lawyers and some layment.</w:t>
      </w:r>
    </w:p>
    <w:p>
      <w:pPr>
        <w:pStyle w:val="01parapoint"/>
        <w:numPr>
          <w:ilvl w:val="0"/>
          <w:numId w:val="13"/>
        </w:numPr>
        <w:ind w:hanging="0" w:start="0"/>
        <w:rPr>
          <w:i/>
          <w:i/>
        </w:rPr>
      </w:pPr>
      <w:r>
        <w:rPr>
          <w:i/>
        </w:rPr>
        <w:t>Encourage a group to develop a proposal for a process for companies to disclose top 5-10 performance measures.</w:t>
      </w:r>
    </w:p>
    <w:p>
      <w:pPr>
        <w:pStyle w:val="Normal"/>
        <w:rPr>
          <w:i/>
          <w:i/>
        </w:rPr>
      </w:pPr>
      <w:r>
        <w:rPr>
          <w:i/>
        </w:rPr>
        <w:t>Should we include these suggestions and are there any that you would like to add?]</w:t>
      </w:r>
    </w:p>
    <w:p>
      <w:pPr>
        <w:pStyle w:val="Heading2"/>
        <w:spacing w:before="540" w:after="240"/>
        <w:ind w:hanging="0" w:start="0"/>
        <w:rPr/>
      </w:pPr>
      <w:r>
        <w:rPr/>
        <w:t>annex  -- list of panel members</w:t>
      </w:r>
    </w:p>
    <w:sectPr>
      <w:headerReference w:type="default" r:id="rId4"/>
      <w:headerReference w:type="first" r:id="rId5"/>
      <w:footerReference w:type="default" r:id="rId6"/>
      <w:footerReference w:type="first" r:id="rId7"/>
      <w:footnotePr>
        <w:numFmt w:val="decimal"/>
      </w:footnotePr>
      <w:type w:val="nextPage"/>
      <w:pgSz w:w="12240" w:h="15840"/>
      <w:pgMar w:left="2347" w:right="1253" w:gutter="0" w:header="907"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lockText"/>
      <w:spacing w:before="0" w:after="180"/>
      <w:ind w:hanging="0" w:start="1944" w:end="1440"/>
      <w:rPr/>
    </w:pPr>
    <w:r>
      <w:rPr/>
      <w:t>To panel members:  This draft is for discussion.  It is an attempt to summarize what we think we have heard from the the panel members. It does not purport to reflect your collective view until you have reviewed and agreed with it.</w:t>
    </w:r>
    <w:r>
      <mc:AlternateContent>
        <mc:Choice Requires="wps">
          <w:drawing>
            <wp:anchor behindDoc="0" distT="114300" distB="114300" distL="114300" distR="114300" simplePos="0" locked="0" layoutInCell="0" allowOverlap="1" relativeHeight="2">
              <wp:simplePos x="0" y="0"/>
              <wp:positionH relativeFrom="page">
                <wp:posOffset>457835</wp:posOffset>
              </wp:positionH>
              <wp:positionV relativeFrom="page">
                <wp:posOffset>9519285</wp:posOffset>
              </wp:positionV>
              <wp:extent cx="1460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20955"/>
                      </a:xfrm>
                      <a:prstGeom prst="rect"/>
                      <a:solidFill>
                        <a:srgbClr val="FFFFFF">
                          <a:alpha val="0"/>
                        </a:srgbClr>
                      </a:solidFill>
                    </wps:spPr>
                    <wps:txbx>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1.15pt;height:1.65pt;mso-wrap-distance-left:9pt;mso-wrap-distance-right:9pt;mso-wrap-distance-top:9pt;mso-wrap-distance-bottom:9pt;margin-top:749.55pt;mso-position-vertical-relative:page;margin-left:36.05pt;mso-position-horizontal-relative:page">
              <v:fill opacity="0f"/>
              <v:textbox inset="0in,0in,0in,0in">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16</w:t>
    </w:r>
    <w:r>
      <w:rPr/>
      <w:fldChar w:fldCharType="end"/>
    </w:r>
    <w:r>
      <mc:AlternateContent>
        <mc:Choice Requires="wps">
          <w:drawing>
            <wp:anchor behindDoc="0" distT="114300" distB="114300" distL="114300" distR="114300" simplePos="0" locked="0" layoutInCell="0" allowOverlap="1" relativeHeight="18">
              <wp:simplePos x="0" y="0"/>
              <wp:positionH relativeFrom="page">
                <wp:posOffset>457835</wp:posOffset>
              </wp:positionH>
              <wp:positionV relativeFrom="page">
                <wp:posOffset>9519285</wp:posOffset>
              </wp:positionV>
              <wp:extent cx="3411855" cy="116840"/>
              <wp:effectExtent l="0" t="0" r="0" b="0"/>
              <wp:wrapSquare wrapText="bothSides"/>
              <wp:docPr id="4" name="Frame3"/>
              <a:graphic xmlns:a="http://schemas.openxmlformats.org/drawingml/2006/main">
                <a:graphicData uri="http://schemas.microsoft.com/office/word/2010/wordprocessingShape">
                  <wps:wsp>
                    <wps:cNvSpPr txBox="1"/>
                    <wps:spPr>
                      <a:xfrm>
                        <a:off x="0" y="0"/>
                        <a:ext cx="3411855"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/mnt/main-storage/datasets/enron-docs/doc/SEC_Panel_Draft_Report_14Sep00.doc</w:t>
                          </w:r>
                          <w:r>
                            <w:rPr/>
                            <w:fldChar w:fldCharType="end"/>
                          </w:r>
                        </w:p>
                      </w:txbxContent>
                    </wps:txbx>
                    <wps:bodyPr anchor="t" lIns="0" tIns="0" rIns="0" bIns="0">
                      <a:noAutofit/>
                    </wps:bodyPr>
                  </wps:wsp>
                </a:graphicData>
              </a:graphic>
            </wp:anchor>
          </w:drawing>
        </mc:Choice>
        <mc:Fallback>
          <w:pict>
            <v:rect fillcolor="#FFFFFF" style="position:absolute;rotation:-0;width:268.65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/mnt/main-storage/datasets/enron-docs/doc/SEC_Panel_Draft_Report_14Sep00.doc</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2"/>
        </w:rPr>
        <w:t xml:space="preserve"> </w:t>
      </w:r>
      <w:r>
        <w:rPr>
          <w:sz w:val="22"/>
        </w:rPr>
        <w:t>For the penultimate version of this document, we will work with one or two lawyers to ensure that references to legal issues are properly stated and we will also have the text reviewed by a professional editor.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3">
              <wp:simplePos x="0" y="0"/>
              <wp:positionH relativeFrom="page">
                <wp:posOffset>3639185</wp:posOffset>
              </wp:positionH>
              <wp:positionV relativeFrom="page">
                <wp:posOffset>457835</wp:posOffset>
              </wp:positionV>
              <wp:extent cx="3657600"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3657600" cy="116840"/>
                      </a:xfrm>
                      <a:prstGeom prst="rect"/>
                      <a:solidFill>
                        <a:srgbClr val="FFFFFF">
                          <a:alpha val="0"/>
                        </a:srgbClr>
                      </a:solidFill>
                    </wps:spPr>
                    <wps:txbx>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88pt;height:9.2pt;mso-wrap-distance-left:9pt;mso-wrap-distance-right:9pt;mso-wrap-distance-top:9pt;mso-wrap-distance-bottom:9pt;margin-top:36.05pt;mso-position-vertical-relative:page;margin-left:286.55pt;mso-position-horizontal-relative:page">
              <v:fill opacity="0f"/>
              <v:textbox inset="0in,0in,0in,0in">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t>Draft – September 14,2000 – Not for distribution</w:t>
    </w:r>
    <w:r>
      <mc:AlternateContent>
        <mc:Choice Requires="wps">
          <w:drawing>
            <wp:anchor behindDoc="0" distT="114300" distB="114300" distL="114300" distR="114300" simplePos="0" locked="0" layoutInCell="0" allowOverlap="1" relativeHeight="33">
              <wp:simplePos x="0" y="0"/>
              <wp:positionH relativeFrom="page">
                <wp:posOffset>3639185</wp:posOffset>
              </wp:positionH>
              <wp:positionV relativeFrom="page">
                <wp:posOffset>457835</wp:posOffset>
              </wp:positionV>
              <wp:extent cx="3657600" cy="20955"/>
              <wp:effectExtent l="0" t="0" r="0" b="0"/>
              <wp:wrapSquare wrapText="bothSides"/>
              <wp:docPr id="3" name="Frame4"/>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/mnt/main-storage/datasets/enron-docs/doc/SEC_Panel_Draft_Report_14Sep00.doc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/mnt/main-storage/datasets/enron-docs/doc/SEC_Panel_Draft_Report_14Sep00.doc</w:t>
                    </w:r>
                    <w: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NewDocIDFormat" w:val="-1"/>
    <w:docVar w:name="DocIDStyle" w:val="DocumentID-BL"/>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4z0">
    <w:name w:val="WW8Num4z0"/>
    <w:qFormat/>
    <w:rPr>
      <w:rFonts w:ascii="Times" w:hAnsi="Times" w:cs="Times"/>
      <w:b w:val="false"/>
      <w:i w:val="false"/>
      <w:sz w:val="24"/>
    </w:rPr>
  </w:style>
  <w:style w:type="character" w:styleId="WW8Num5z0">
    <w:name w:val="WW8Num5z0"/>
    <w:qFormat/>
    <w:rPr>
      <w:rFonts w:ascii="Wingdings" w:hAnsi="Wingdings" w:cs="Wingdings"/>
    </w:rPr>
  </w:style>
  <w:style w:type="character" w:styleId="WW8Num6z0">
    <w:name w:val="WW8Num6z0"/>
    <w:qFormat/>
    <w:rPr>
      <w:rFonts w:ascii="Times New Roman" w:hAnsi="Times New Roman" w:cs="Times New Roman"/>
    </w:rPr>
  </w:style>
  <w:style w:type="character" w:styleId="WW8Num7z0">
    <w:name w:val="WW8Num7z0"/>
    <w:qFormat/>
    <w:rPr>
      <w:rFonts w:ascii="Palatino" w:hAnsi="Palatino" w:cs="Palatino"/>
    </w:rPr>
  </w:style>
  <w:style w:type="character" w:styleId="WW8Num8z0">
    <w:name w:val="WW8Num8z0"/>
    <w:qFormat/>
    <w:rPr>
      <w:rFonts w:ascii="Times" w:hAnsi="Times" w:cs="Times"/>
      <w:b w:val="false"/>
      <w:i w:val="false"/>
      <w:sz w:val="24"/>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6z0">
    <w:name w:val="WW8Num16z0"/>
    <w:qFormat/>
    <w:rPr>
      <w:rFonts w:ascii="Palatino" w:hAnsi="Palatino" w:cs="Palatino"/>
    </w:rPr>
  </w:style>
  <w:style w:type="character" w:styleId="WW8Num17z0">
    <w:name w:val="WW8Num17z0"/>
    <w:qFormat/>
    <w:rPr>
      <w:rFonts w:ascii="Times" w:hAnsi="Times" w:cs="Times"/>
      <w:b w:val="false"/>
      <w:i w:val="false"/>
      <w:sz w:val="24"/>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Palatino" w:hAnsi="Palatino" w:cs="Palatino"/>
    </w:rPr>
  </w:style>
  <w:style w:type="character" w:styleId="WW8Num21z0">
    <w:name w:val="WW8Num21z0"/>
    <w:qFormat/>
    <w:rPr>
      <w:rFonts w:ascii="Times" w:hAnsi="Times" w:cs="Times"/>
      <w:b w:val="false"/>
      <w:i w:val="false"/>
      <w:sz w:val="24"/>
    </w:rPr>
  </w:style>
  <w:style w:type="character" w:styleId="WW8Num22z0">
    <w:name w:val="WW8Num22z0"/>
    <w:qFormat/>
    <w:rPr>
      <w:rFonts w:ascii="Times New Roman" w:hAnsi="Times New Roman" w:cs="Times New Roman"/>
    </w:rPr>
  </w:style>
  <w:style w:type="character" w:styleId="WW8Num23z0">
    <w:name w:val="WW8Num23z0"/>
    <w:qFormat/>
    <w:rPr>
      <w:rFonts w:ascii="Wingdings" w:hAnsi="Wingdings" w:cs="Wingdings"/>
    </w:rPr>
  </w:style>
  <w:style w:type="character" w:styleId="WW8Num24z0">
    <w:name w:val="WW8Num24z0"/>
    <w:qFormat/>
    <w:rPr>
      <w:rFonts w:ascii="Palatino" w:hAnsi="Palatino" w:cs="Palatino"/>
      <w:b w:val="false"/>
      <w:i w:val="false"/>
    </w:rPr>
  </w:style>
  <w:style w:type="character" w:styleId="WW8Num25z0">
    <w:name w:val="WW8Num25z0"/>
    <w:qFormat/>
    <w:rPr>
      <w:rFonts w:ascii="Wingdings" w:hAnsi="Wingdings" w:cs="Wingdings"/>
    </w:rPr>
  </w:style>
  <w:style w:type="character" w:styleId="WW8Num26z0">
    <w:name w:val="WW8Num26z0"/>
    <w:qFormat/>
    <w:rPr>
      <w:rFonts w:ascii="Times" w:hAnsi="Times" w:cs="Times"/>
      <w:b w:val="false"/>
      <w:i w:val="false"/>
      <w:sz w:val="24"/>
    </w:rPr>
  </w:style>
  <w:style w:type="character" w:styleId="WW8Num27z0">
    <w:name w:val="WW8Num27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0z0">
    <w:name w:val="WW8Num30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New Roman" w:hAnsi="Times New Roman" w:cs="Times New Roman"/>
      <w:b w:val="false"/>
      <w:i w:val="false"/>
    </w:rPr>
  </w:style>
  <w:style w:type="character" w:styleId="WW8Num33z0">
    <w:name w:val="WW8Num33z0"/>
    <w:qFormat/>
    <w:rPr>
      <w:rFonts w:ascii="Times" w:hAnsi="Times" w:cs="Times"/>
      <w:b w:val="false"/>
      <w:i w:val="false"/>
      <w:sz w:val="24"/>
    </w:rPr>
  </w:style>
  <w:style w:type="character" w:styleId="WW8Num34z0">
    <w:name w:val="WW8Num34z0"/>
    <w:qFormat/>
    <w:rPr>
      <w:rFonts w:ascii="Palatino" w:hAnsi="Palatino" w:cs="Palatino"/>
    </w:rPr>
  </w:style>
  <w:style w:type="character" w:styleId="WW8Num35z0">
    <w:name w:val="WW8Num35z0"/>
    <w:qFormat/>
    <w:rPr>
      <w:rFonts w:ascii="Wingdings" w:hAnsi="Wingdings" w:cs="Wingdings"/>
    </w:rPr>
  </w:style>
  <w:style w:type="character" w:styleId="WW8Num36z0">
    <w:name w:val="WW8Num36z0"/>
    <w:qFormat/>
    <w:rPr>
      <w:rFonts w:ascii="Palatino" w:hAnsi="Palatino" w:cs="Palatino"/>
    </w:rPr>
  </w:style>
  <w:style w:type="character" w:styleId="WW8Num37z0">
    <w:name w:val="WW8Num37z0"/>
    <w:qFormat/>
    <w:rPr>
      <w:rFonts w:ascii="Times" w:hAnsi="Times" w:cs="Times"/>
      <w:b w:val="false"/>
      <w:i w:val="false"/>
      <w:sz w:val="24"/>
    </w:rPr>
  </w:style>
  <w:style w:type="character" w:styleId="WW8Num38z0">
    <w:name w:val="WW8Num38z0"/>
    <w:qFormat/>
    <w:rPr>
      <w:rFonts w:ascii="Times New Roman" w:hAnsi="Times New Roman" w:cs="Times New Roman"/>
    </w:rPr>
  </w:style>
  <w:style w:type="character" w:styleId="WW8Num39z0">
    <w:name w:val="WW8Num39z0"/>
    <w:qFormat/>
    <w:rPr>
      <w:rFonts w:ascii="Times" w:hAnsi="Times" w:cs="Times"/>
      <w:b w:val="false"/>
      <w:i w:val="false"/>
      <w:sz w:val="24"/>
    </w:rPr>
  </w:style>
  <w:style w:type="character" w:styleId="WW8Num40z0">
    <w:name w:val="WW8Num40z0"/>
    <w:qFormat/>
    <w:rPr>
      <w:rFonts w:ascii="Times" w:hAnsi="Times" w:cs="Times"/>
      <w:b w:val="false"/>
      <w:i w:val="false"/>
      <w:sz w:val="24"/>
    </w:rPr>
  </w:style>
  <w:style w:type="character" w:styleId="WW8Num41z0">
    <w:name w:val="WW8Num41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6z0">
    <w:name w:val="WW8Num46z0"/>
    <w:qFormat/>
    <w:rPr>
      <w:rFonts w:ascii="Times" w:hAnsi="Times" w:cs="Times"/>
      <w:b w:val="false"/>
      <w:i w:val="false"/>
      <w:sz w:val="24"/>
    </w:rPr>
  </w:style>
  <w:style w:type="character" w:styleId="WW8Num47z0">
    <w:name w:val="WW8Num47z0"/>
    <w:qFormat/>
    <w:rPr>
      <w:rFonts w:ascii="Wingdings" w:hAnsi="Wingdings" w:cs="Wingdings"/>
    </w:rPr>
  </w:style>
  <w:style w:type="character" w:styleId="WW8Num48z0">
    <w:name w:val="WW8Num48z0"/>
    <w:qFormat/>
    <w:rPr>
      <w:rFonts w:ascii="Times New Roman" w:hAnsi="Times New Roman" w:cs="Times New Roman"/>
      <w:b w:val="false"/>
      <w:i w:val="false"/>
    </w:rPr>
  </w:style>
  <w:style w:type="character" w:styleId="WW8NumSt7z0">
    <w:name w:val="WW8NumSt7z0"/>
    <w:qFormat/>
    <w:rPr>
      <w:rFonts w:ascii="Times" w:hAnsi="Times" w:cs="Times"/>
      <w:sz w:val="24"/>
    </w:rPr>
  </w:style>
  <w:style w:type="character" w:styleId="WW8NumSt8z0">
    <w:name w:val="WW8NumSt8z0"/>
    <w:qFormat/>
    <w:rPr>
      <w:rFonts w:ascii="Times" w:hAnsi="Times" w:cs="Times"/>
    </w:rPr>
  </w:style>
  <w:style w:type="character" w:styleId="WW8NumSt9z0">
    <w:name w:val="WW8NumSt9z0"/>
    <w:qFormat/>
    <w:rPr>
      <w:rFonts w:ascii="Times" w:hAnsi="Times" w:cs="Times"/>
    </w:rPr>
  </w:style>
  <w:style w:type="character" w:styleId="WW8NumSt10z0">
    <w:name w:val="WW8NumSt10z0"/>
    <w:qFormat/>
    <w:rPr>
      <w:rFonts w:ascii="Times" w:hAnsi="Times" w:cs="Times"/>
    </w:rPr>
  </w:style>
  <w:style w:type="character" w:styleId="WW8NumSt11z0">
    <w:name w:val="WW8NumSt11z0"/>
    <w:qFormat/>
    <w:rPr>
      <w:rFonts w:ascii="Times" w:hAnsi="Times" w:cs="Times"/>
    </w:rPr>
  </w:style>
  <w:style w:type="character" w:styleId="WW8NumSt41z0">
    <w:name w:val="WW8NumSt41z0"/>
    <w:qFormat/>
    <w:rPr>
      <w:rFonts w:ascii="Palatino" w:hAnsi="Palatino" w:cs="Palatino"/>
    </w:rPr>
  </w:style>
  <w:style w:type="character" w:styleId="WW8NumSt42z0">
    <w:name w:val="WW8NumSt42z0"/>
    <w:qFormat/>
    <w:rPr>
      <w:rFonts w:ascii="Palatino" w:hAnsi="Palatino" w:cs="Palatino"/>
    </w:rPr>
  </w:style>
  <w:style w:type="character" w:styleId="WW8NumSt49z0">
    <w:name w:val="WW8NumSt49z0"/>
    <w:qFormat/>
    <w:rPr>
      <w:rFonts w:ascii="Palatino" w:hAnsi="Palatino" w:cs="Palatino"/>
    </w:rPr>
  </w:style>
  <w:style w:type="character" w:styleId="WW8NumSt52z0">
    <w:name w:val="WW8NumSt52z0"/>
    <w:qFormat/>
    <w:rPr>
      <w:rFonts w:ascii="Palatino" w:hAnsi="Palatino" w:cs="Palatino"/>
    </w:rPr>
  </w:style>
  <w:style w:type="character" w:styleId="WW8NumSt69z0">
    <w:name w:val="WW8NumSt69z0"/>
    <w:qFormat/>
    <w:rPr>
      <w:rFonts w:ascii="Palatino" w:hAnsi="Palatino" w:cs="Palatino"/>
    </w:rPr>
  </w:style>
  <w:style w:type="character" w:styleId="WW8NumSt72z0">
    <w:name w:val="WW8NumSt72z0"/>
    <w:qFormat/>
    <w:rPr>
      <w:rFonts w:ascii="Palatino" w:hAnsi="Palatino" w:cs="Palatino"/>
    </w:rPr>
  </w:style>
  <w:style w:type="character" w:styleId="WW8NumSt73z0">
    <w:name w:val="WW8NumSt73z0"/>
    <w:qFormat/>
    <w:rPr>
      <w:rFonts w:ascii="Palatino" w:hAnsi="Palatino" w:cs="Palatino"/>
    </w:rPr>
  </w:style>
  <w:style w:type="character" w:styleId="WW8NumSt76z0">
    <w:name w:val="WW8NumSt76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rFonts w:ascii="Palatino" w:hAnsi="Palatino" w:cs="Palatino"/>
      <w:b/>
      <w:sz w:val="24"/>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rFonts w:ascii="Palatino" w:hAnsi="Palatino" w:cs="Palatino"/>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rFonts w:ascii="Palatino" w:hAnsi="Palatino" w:cs="Palatino"/>
      <w:b/>
      <w:caps/>
      <w:sz w:val="24"/>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rFonts w:ascii="Palatino" w:hAnsi="Palatino" w:cs="Palatino"/>
      <w:b/>
      <w:sz w:val="26"/>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8" w:start="979" w:end="0"/>
      <w:outlineLvl w:val="5"/>
    </w:pPr>
    <w:rPr>
      <w:rFonts w:ascii="Palatino" w:hAnsi="Palatino" w:cs="Palatino"/>
      <w:sz w:val="24"/>
    </w:rPr>
  </w:style>
  <w:style w:type="paragraph" w:styleId="06letter2">
    <w:name w:val="06 letter/2"/>
    <w:basedOn w:val="Normal"/>
    <w:qFormat/>
    <w:pPr>
      <w:ind w:hanging="317" w:start="1296" w:end="0"/>
      <w:outlineLvl w:val="6"/>
    </w:pPr>
    <w:rPr>
      <w:rFonts w:ascii="Palatino" w:hAnsi="Palatino" w:cs="Palatino"/>
      <w:sz w:val="24"/>
    </w:rPr>
  </w:style>
  <w:style w:type="paragraph" w:styleId="07number3">
    <w:name w:val="07 number/3"/>
    <w:basedOn w:val="Normal"/>
    <w:qFormat/>
    <w:pPr>
      <w:ind w:hanging="331" w:start="1627" w:end="0"/>
      <w:outlineLvl w:val="7"/>
    </w:pPr>
    <w:rPr>
      <w:rFonts w:ascii="Palatino" w:hAnsi="Palatino" w:cs="Palatino"/>
      <w:sz w:val="24"/>
    </w:rPr>
  </w:style>
  <w:style w:type="paragraph" w:styleId="08letter4">
    <w:name w:val="08 letter/4"/>
    <w:basedOn w:val="Normal"/>
    <w:qFormat/>
    <w:pPr>
      <w:ind w:hanging="259" w:start="1872" w:end="0"/>
      <w:outlineLvl w:val="8"/>
    </w:pPr>
    <w:rPr>
      <w:rFonts w:ascii="Palatino" w:hAnsi="Palatino" w:cs="Palatino"/>
      <w:sz w:val="24"/>
    </w:rPr>
  </w:style>
  <w:style w:type="paragraph" w:styleId="09number10">
    <w:name w:val="09 number/10"/>
    <w:basedOn w:val="05number1"/>
    <w:qFormat/>
    <w:pPr>
      <w:ind w:hanging="403" w:start="979"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spacing w:before="0" w:after="180"/>
      <w:outlineLvl w:val="4"/>
    </w:pPr>
    <w:rPr>
      <w:rFonts w:ascii="Palatino" w:hAnsi="Palatino" w:cs="Palatino"/>
      <w:b/>
      <w:sz w:val="24"/>
    </w:rPr>
  </w:style>
  <w:style w:type="paragraph" w:styleId="23summary3">
    <w:name w:val="23 summary 3*"/>
    <w:basedOn w:val="Normal"/>
    <w:next w:val="Normal"/>
    <w:qFormat/>
    <w:pPr>
      <w:spacing w:before="60" w:after="480"/>
      <w:jc w:val="center"/>
    </w:pPr>
    <w:rPr>
      <w:rFonts w:ascii="Palatino" w:hAnsi="Palatino" w:cs="Palatino"/>
      <w:sz w:val="24"/>
    </w:rPr>
  </w:style>
  <w:style w:type="paragraph" w:styleId="24enddateover">
    <w:name w:val="24 end date/over"/>
    <w:basedOn w:val="Normal"/>
    <w:next w:val="Normal"/>
    <w:qFormat/>
    <w:pPr>
      <w:spacing w:before="300" w:after="180"/>
      <w:jc w:val="end"/>
    </w:pPr>
    <w:rPr>
      <w:rFonts w:ascii="Palatino" w:hAnsi="Palatino" w:cs="Palatino"/>
      <w:i/>
      <w:sz w:val="24"/>
    </w:rPr>
  </w:style>
  <w:style w:type="paragraph" w:styleId="25source">
    <w:name w:val="25 source"/>
    <w:basedOn w:val="Normal"/>
    <w:qFormat/>
    <w:pPr>
      <w:tabs>
        <w:tab w:val="clear" w:pos="720"/>
        <w:tab w:val="right" w:pos="619" w:leader="none"/>
      </w:tabs>
      <w:spacing w:before="0" w:after="40"/>
      <w:ind w:hanging="835" w:start="835" w:end="0"/>
    </w:pPr>
    <w:rPr>
      <w:rFonts w:ascii="Palatino" w:hAnsi="Palatino" w:cs="Palatino"/>
      <w:sz w:val="18"/>
    </w:rPr>
  </w:style>
  <w:style w:type="paragraph" w:styleId="26note">
    <w:name w:val="26 note"/>
    <w:basedOn w:val="Normal"/>
    <w:qFormat/>
    <w:pPr>
      <w:tabs>
        <w:tab w:val="clear" w:pos="720"/>
        <w:tab w:val="right" w:pos="446" w:leader="none"/>
      </w:tabs>
      <w:spacing w:before="0" w:after="40"/>
      <w:ind w:hanging="648" w:start="648" w:end="0"/>
    </w:pPr>
    <w:rPr>
      <w:rFonts w:ascii="Palatino" w:hAnsi="Palatino" w:cs="Palatino"/>
      <w:sz w:val="18"/>
    </w:rPr>
  </w:style>
  <w:style w:type="paragraph" w:styleId="30documenttitle">
    <w:name w:val="30 document title"/>
    <w:basedOn w:val="Normal"/>
    <w:next w:val="31subtitle"/>
    <w:qFormat/>
    <w:pPr>
      <w:spacing w:before="720" w:after="360"/>
      <w:ind w:hanging="0" w:start="0" w:end="1080"/>
      <w:outlineLvl w:val="0"/>
    </w:pPr>
    <w:rPr>
      <w:rFonts w:ascii="Palatino" w:hAnsi="Palatino" w:cs="Palatino"/>
      <w:sz w:val="40"/>
    </w:rPr>
  </w:style>
  <w:style w:type="paragraph" w:styleId="31subtitle">
    <w:name w:val="31 subtitle"/>
    <w:basedOn w:val="Normal"/>
    <w:next w:val="Normal"/>
    <w:qFormat/>
    <w:pPr>
      <w:spacing w:before="0" w:after="720"/>
      <w:ind w:hanging="0" w:start="0" w:end="3601"/>
    </w:pPr>
    <w:rPr>
      <w:rFonts w:ascii="Palatino" w:hAnsi="Palatino" w:cs="Palatino"/>
      <w:i/>
      <w:sz w:val="2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rFonts w:ascii="Palatino" w:hAnsi="Palatino" w:cs="Palatino"/>
      <w:b/>
      <w:sz w:val="26"/>
    </w:rPr>
  </w:style>
  <w:style w:type="paragraph" w:styleId="34contentspage">
    <w:name w:val="34 contents page"/>
    <w:basedOn w:val="Normal"/>
    <w:next w:val="Normal"/>
    <w:qFormat/>
    <w:pPr>
      <w:tabs>
        <w:tab w:val="clear" w:pos="720"/>
        <w:tab w:val="right" w:pos="8640" w:leader="none"/>
      </w:tabs>
      <w:spacing w:before="0" w:after="180"/>
      <w:jc w:val="end"/>
    </w:pPr>
    <w:rPr>
      <w:rFonts w:ascii="Palatino" w:hAnsi="Palatino" w:cs="Palatino"/>
      <w:i/>
      <w:sz w:val="18"/>
    </w:rPr>
  </w:style>
  <w:style w:type="paragraph" w:styleId="35contentssubject">
    <w:name w:val="35 contents subject"/>
    <w:basedOn w:val="Normal"/>
    <w:qFormat/>
    <w:pPr>
      <w:tabs>
        <w:tab w:val="left" w:pos="720" w:leader="none"/>
        <w:tab w:val="right" w:pos="8640" w:leader="none"/>
      </w:tabs>
      <w:spacing w:before="0" w:after="180"/>
      <w:ind w:hanging="0" w:start="360" w:end="0"/>
    </w:pPr>
    <w:rPr>
      <w:rFonts w:ascii="Palatino" w:hAnsi="Palatino" w:cs="Palatino"/>
      <w:sz w:val="24"/>
    </w:rPr>
  </w:style>
  <w:style w:type="paragraph" w:styleId="36opener">
    <w:name w:val="36 opener"/>
    <w:basedOn w:val="Normal"/>
    <w:qFormat/>
    <w:pPr>
      <w:tabs>
        <w:tab w:val="clear" w:pos="720"/>
        <w:tab w:val="right" w:pos="-261" w:leader="none"/>
      </w:tabs>
      <w:spacing w:before="0" w:after="0"/>
      <w:ind w:hanging="2160" w:start="0" w:end="0"/>
    </w:pPr>
    <w:rPr>
      <w:rFonts w:ascii="Palatino" w:hAnsi="Palatino" w:cs="Palatino"/>
      <w:sz w:val="24"/>
    </w:rPr>
  </w:style>
  <w:style w:type="paragraph" w:styleId="37memointervtitle">
    <w:name w:val="37 memo/interv title"/>
    <w:basedOn w:val="Normal"/>
    <w:next w:val="Normal"/>
    <w:qFormat/>
    <w:pPr>
      <w:spacing w:before="720" w:after="360"/>
    </w:pPr>
    <w:rPr>
      <w:rFonts w:ascii="Palatino" w:hAnsi="Palatino" w:cs="Palatino"/>
      <w:sz w:val="40"/>
    </w:rPr>
  </w:style>
  <w:style w:type="paragraph" w:styleId="38date">
    <w:name w:val="38 date"/>
    <w:basedOn w:val="Normal"/>
    <w:next w:val="39restrictivenote"/>
    <w:qFormat/>
    <w:pPr>
      <w:spacing w:before="1680" w:after="180"/>
      <w:jc w:val="end"/>
    </w:pPr>
    <w:rPr>
      <w:rFonts w:ascii="Palatino" w:hAnsi="Palatino" w:cs="Palatino"/>
      <w:sz w:val="24"/>
    </w:rPr>
  </w:style>
  <w:style w:type="paragraph" w:styleId="39restrictivenote">
    <w:name w:val="39 restrictive note"/>
    <w:basedOn w:val="Normal"/>
    <w:next w:val="40address"/>
    <w:qFormat/>
    <w:pPr>
      <w:spacing w:before="0" w:after="180"/>
    </w:pPr>
    <w:rPr>
      <w:rFonts w:ascii="Palatino" w:hAnsi="Palatino" w:cs="Palatino"/>
      <w:i/>
      <w:sz w:val="24"/>
    </w:rPr>
  </w:style>
  <w:style w:type="paragraph" w:styleId="40address">
    <w:name w:val="40 address"/>
    <w:basedOn w:val="Normal"/>
    <w:qFormat/>
    <w:pPr>
      <w:spacing w:before="0" w:after="180"/>
    </w:pPr>
    <w:rPr>
      <w:rFonts w:ascii="Palatino" w:hAnsi="Palatino" w:cs="Palatino"/>
      <w:sz w:val="24"/>
    </w:rPr>
  </w:style>
  <w:style w:type="paragraph" w:styleId="41closing">
    <w:name w:val="41 closing"/>
    <w:basedOn w:val="Normal"/>
    <w:qFormat/>
    <w:pPr>
      <w:spacing w:before="60" w:after="180"/>
      <w:ind w:hanging="0" w:start="3958" w:end="0"/>
    </w:pPr>
    <w:rPr>
      <w:rFonts w:ascii="Palatino" w:hAnsi="Palatino" w:cs="Palatino"/>
      <w:sz w:val="24"/>
    </w:rPr>
  </w:style>
  <w:style w:type="paragraph" w:styleId="42cc">
    <w:name w:val="42 cc:"/>
    <w:basedOn w:val="Normal"/>
    <w:qFormat/>
    <w:pPr>
      <w:spacing w:before="0" w:after="180"/>
      <w:ind w:hanging="544" w:start="544" w:end="0"/>
    </w:pPr>
    <w:rPr>
      <w:rFonts w:ascii="Palatino" w:hAnsi="Palatino" w:cs="Palatino"/>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180"/>
    </w:pPr>
    <w:rPr>
      <w:rFonts w:ascii="Palatino" w:hAnsi="Palatino" w:cs="Palatino"/>
      <w:i/>
      <w:sz w:val="24"/>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rFonts w:ascii="Palatino" w:hAnsi="Palatino" w:cs="Palatino"/>
      <w:sz w:val="24"/>
    </w:rPr>
  </w:style>
  <w:style w:type="paragraph" w:styleId="45monarchheader">
    <w:name w:val="45 monarch header"/>
    <w:basedOn w:val="Normal"/>
    <w:qFormat/>
    <w:pPr>
      <w:tabs>
        <w:tab w:val="clear" w:pos="720"/>
        <w:tab w:val="center" w:pos="3510" w:leader="none"/>
        <w:tab w:val="right" w:pos="7020" w:leader="none"/>
      </w:tabs>
      <w:spacing w:before="0" w:after="180"/>
    </w:pPr>
    <w:rPr>
      <w:rFonts w:ascii="Palatino" w:hAnsi="Palatino" w:cs="Palatino"/>
      <w:i/>
      <w:sz w:val="24"/>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spacing w:before="0" w:after="180"/>
      <w:ind w:hanging="0" w:start="0" w:end="-4320"/>
    </w:pPr>
    <w:rPr>
      <w:rFonts w:ascii="Palatino" w:hAnsi="Palatino" w:cs="Palatino"/>
      <w:sz w:val="24"/>
    </w:rPr>
  </w:style>
  <w:style w:type="paragraph" w:styleId="60exhnormal">
    <w:name w:val="60 exh normal"/>
    <w:basedOn w:val="Normal"/>
    <w:qFormat/>
    <w:pPr>
      <w:spacing w:before="0" w:after="0"/>
    </w:pPr>
    <w:rPr>
      <w:rFonts w:ascii="Arial" w:hAnsi="Arial" w:cs="Arial"/>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1"/>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spacing w:before="0" w:after="180"/>
    </w:pPr>
    <w:rPr>
      <w:rFonts w:ascii="Palatino" w:hAnsi="Palatino" w:cs="Palatino"/>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3" w:start="363" w:end="0"/>
    </w:pPr>
    <w:rPr>
      <w:sz w:val="18"/>
    </w:rPr>
  </w:style>
  <w:style w:type="paragraph" w:styleId="92exhnote">
    <w:name w:val="92 exh note***"/>
    <w:basedOn w:val="60exhnormal"/>
    <w:qFormat/>
    <w:pPr>
      <w:tabs>
        <w:tab w:val="clear" w:pos="720"/>
        <w:tab w:val="right" w:pos="261" w:leader="none"/>
      </w:tabs>
      <w:spacing w:before="0" w:after="40"/>
      <w:ind w:hanging="448" w:start="448" w:end="0"/>
    </w:pPr>
    <w:rPr>
      <w:sz w:val="18"/>
    </w:rPr>
  </w:style>
  <w:style w:type="paragraph" w:styleId="CommentText">
    <w:name w:val="Comment Text"/>
    <w:basedOn w:val="Normal"/>
    <w:qFormat/>
    <w:pPr>
      <w:spacing w:before="0" w:after="180"/>
    </w:pPr>
    <w:rPr>
      <w:sz w:val="20"/>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vanish/>
      <w:color w:val="FF0000"/>
      <w:sz w:val="16"/>
    </w:rPr>
  </w:style>
  <w:style w:type="paragraph" w:styleId="DocumentID-TRT">
    <w:name w:val="DocumentID-TRT"/>
    <w:basedOn w:val="DocumentID-TR"/>
    <w:qFormat/>
    <w:pPr/>
    <w:rPr>
      <w:vanish w:val="false"/>
      <w:color w:val="FF0000"/>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rFonts w:ascii="Palatino" w:hAnsi="Palatino" w:cs="Palatino"/>
      <w:sz w:val="24"/>
    </w:rPr>
  </w:style>
  <w:style w:type="paragraph" w:styleId="EnvelopeReturn">
    <w:name w:val="envelope return"/>
    <w:basedOn w:val="Normal"/>
    <w:pPr>
      <w:spacing w:before="0" w:after="0"/>
    </w:pPr>
    <w:rPr>
      <w:sz w:val="20"/>
    </w:rPr>
  </w:style>
  <w:style w:type="paragraph" w:styleId="Footer">
    <w:name w:val="footer"/>
    <w:basedOn w:val="Normal"/>
    <w:pPr>
      <w:spacing w:before="0" w:after="0"/>
      <w:jc w:val="end"/>
    </w:pPr>
    <w:rPr>
      <w:rFonts w:ascii="Palatino" w:hAnsi="Palatino" w:cs="Palatino"/>
      <w:sz w:val="24"/>
    </w:rPr>
  </w:style>
  <w:style w:type="paragraph" w:styleId="FootnoteText">
    <w:name w:val="footnote text"/>
    <w:basedOn w:val="Normal"/>
    <w:pPr>
      <w:spacing w:before="0" w:after="0"/>
      <w:ind w:hanging="288" w:start="288" w:end="0"/>
    </w:pPr>
    <w:rPr>
      <w:rFonts w:ascii="Palatino" w:hAnsi="Palatino" w:cs="Palatino"/>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BlockText">
    <w:name w:val="Block Text"/>
    <w:basedOn w:val="Normal"/>
    <w:qFormat/>
    <w:pPr>
      <w:ind w:hanging="0" w:start="1944"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Vertical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2000-09-14T15:08:00Z</dcterms:created>
  <dc:creator>McKinsey User</dc:creator>
  <dc:description/>
  <dc:language>en-CA</dc:language>
  <cp:lastModifiedBy>valeriep</cp:lastModifiedBy>
  <cp:lastPrinted>2000-09-14T11:42:00Z</cp:lastPrinted>
  <dcterms:modified xsi:type="dcterms:W3CDTF">2000-09-14T15:08:00Z</dcterms:modified>
  <cp:revision>2</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1</vt:bool>
  </property>
  <property fmtid="{D5CDD505-2E9C-101B-9397-08002B2CF9AE}" pid="3" name="DocIDPos">
    <vt:lpwstr>BL</vt:lpwstr>
  </property>
  <property fmtid="{D5CDD505-2E9C-101B-9397-08002B2CF9AE}" pid="4" name="DocIDinText">
    <vt:bool>1</vt:bool>
  </property>
</Properties>
</file>