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5.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tabs>
          <w:tab w:val="clear" w:pos="720"/>
          <w:tab w:val="right" w:pos="9360" w:leader="none"/>
        </w:tabs>
        <w:rPr/>
      </w:pPr>
      <w:r>
        <w:rPr/>
      </w:r>
    </w:p>
    <w:p>
      <w:pPr>
        <w:pStyle w:val="Normal"/>
        <w:rPr>
          <w:b/>
        </w:rPr>
      </w:pPr>
      <w:r>
        <w:rPr>
          <w:b/>
        </w:rPr>
      </w:r>
    </w:p>
    <w:p>
      <w:pPr>
        <w:pStyle w:val="Normal"/>
        <w:spacing w:lineRule="exact" w:line="57"/>
        <w:rPr>
          <w:b/>
          <w:lang w:val="en-CA"/>
        </w:rPr>
      </w:pPr>
      <w:r>
        <w:rPr>
          <w:b/>
          <w:lang w:val="en-CA"/>
        </w:rPr>
        <mc:AlternateContent>
          <mc:Choice Requires="wps">
            <w:drawing>
              <wp:anchor behindDoc="1" distT="0" distB="0" distL="114935" distR="114935" simplePos="0" locked="0" layoutInCell="0" allowOverlap="1" relativeHeight="4">
                <wp:simplePos x="0" y="0"/>
                <wp:positionH relativeFrom="page">
                  <wp:posOffset>914400</wp:posOffset>
                </wp:positionH>
                <wp:positionV relativeFrom="paragraph">
                  <wp:posOffset>635</wp:posOffset>
                </wp:positionV>
                <wp:extent cx="5943600" cy="36195"/>
                <wp:effectExtent l="0" t="635" r="0" b="0"/>
                <wp:wrapNone/>
                <wp:docPr id="1" name=""/>
                <a:graphic xmlns:a="http://schemas.openxmlformats.org/drawingml/2006/main">
                  <a:graphicData uri="http://schemas.microsoft.com/office/word/2010/wordprocessingShape">
                    <wps:wsp>
                      <wps:cNvSpPr/>
                      <wps:spPr>
                        <a:xfrm>
                          <a:off x="0" y="0"/>
                          <a:ext cx="5943600" cy="36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2.8pt;mso-wrap-style:none;v-text-anchor:middle;mso-position-horizontal-relative:page">
                <v:fill o:detectmouseclick="t" type="solid" color2="white"/>
                <v:stroke color="#3465a4" joinstyle="round" endcap="flat"/>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jc w:val="center"/>
        <w:rPr>
          <w:sz w:val="32"/>
        </w:rPr>
      </w:pPr>
      <w:r>
        <w:rPr>
          <w:sz w:val="32"/>
        </w:rPr>
      </w:r>
    </w:p>
    <w:p>
      <w:pPr>
        <w:pStyle w:val="Normal"/>
        <w:numPr>
          <w:ilvl w:val="0"/>
          <w:numId w:val="0"/>
        </w:numPr>
        <w:tabs>
          <w:tab w:val="clear" w:pos="720"/>
          <w:tab w:val="center" w:pos="4680" w:leader="none"/>
        </w:tabs>
        <w:jc w:val="center"/>
        <w:outlineLvl w:val="0"/>
        <w:rPr>
          <w:b/>
          <w:sz w:val="32"/>
        </w:rPr>
      </w:pPr>
      <w:r>
        <w:rPr>
          <w:b/>
          <w:sz w:val="32"/>
        </w:rPr>
        <w:t>SECURITIES PURCHASE AGREEMENT</w:t>
      </w:r>
    </w:p>
    <w:p>
      <w:pPr>
        <w:pStyle w:val="Normal"/>
        <w:jc w:val="center"/>
        <w:rPr>
          <w:b/>
          <w:sz w:val="32"/>
        </w:rPr>
      </w:pPr>
      <w:r>
        <w:rPr>
          <w:b/>
          <w:sz w:val="32"/>
        </w:rPr>
      </w:r>
    </w:p>
    <w:p>
      <w:pPr>
        <w:pStyle w:val="Normal"/>
        <w:numPr>
          <w:ilvl w:val="0"/>
          <w:numId w:val="0"/>
        </w:numPr>
        <w:tabs>
          <w:tab w:val="clear" w:pos="720"/>
          <w:tab w:val="center" w:pos="4680" w:leader="none"/>
        </w:tabs>
        <w:jc w:val="center"/>
        <w:outlineLvl w:val="0"/>
        <w:rPr>
          <w:b/>
        </w:rPr>
      </w:pPr>
      <w:r>
        <w:rPr>
          <w:b/>
        </w:rPr>
        <w:t>BETWEEN</w:t>
      </w:r>
    </w:p>
    <w:p>
      <w:pPr>
        <w:pStyle w:val="Normal"/>
        <w:jc w:val="center"/>
        <w:rPr>
          <w:b/>
        </w:rPr>
      </w:pPr>
      <w:r>
        <w:rPr>
          <w:b/>
        </w:rPr>
      </w:r>
    </w:p>
    <w:p>
      <w:pPr>
        <w:pStyle w:val="Normal"/>
        <w:jc w:val="center"/>
        <w:rPr>
          <w:b/>
          <w:sz w:val="32"/>
        </w:rPr>
      </w:pPr>
      <w:r>
        <w:rPr>
          <w:b/>
          <w:sz w:val="32"/>
        </w:rPr>
      </w:r>
    </w:p>
    <w:p>
      <w:pPr>
        <w:pStyle w:val="Normal"/>
        <w:tabs>
          <w:tab w:val="clear" w:pos="720"/>
          <w:tab w:val="center" w:pos="4680" w:leader="none"/>
        </w:tabs>
        <w:jc w:val="center"/>
        <w:rPr>
          <w:b/>
          <w:sz w:val="32"/>
        </w:rPr>
      </w:pPr>
      <w:r>
        <w:rPr>
          <w:b/>
          <w:sz w:val="32"/>
        </w:rPr>
        <w:t>ENRON NORTH AMERICA CORP.</w:t>
      </w:r>
    </w:p>
    <w:p>
      <w:pPr>
        <w:pStyle w:val="Normal"/>
        <w:jc w:val="center"/>
        <w:rPr>
          <w:b/>
          <w:sz w:val="32"/>
        </w:rPr>
      </w:pPr>
      <w:r>
        <w:rPr>
          <w:b/>
          <w:sz w:val="32"/>
        </w:rPr>
      </w:r>
    </w:p>
    <w:p>
      <w:pPr>
        <w:pStyle w:val="Normal"/>
        <w:numPr>
          <w:ilvl w:val="0"/>
          <w:numId w:val="0"/>
        </w:numPr>
        <w:tabs>
          <w:tab w:val="clear" w:pos="720"/>
          <w:tab w:val="center" w:pos="4680" w:leader="none"/>
        </w:tabs>
        <w:jc w:val="center"/>
        <w:outlineLvl w:val="0"/>
        <w:rPr>
          <w:b/>
        </w:rPr>
      </w:pPr>
      <w:r>
        <w:rPr>
          <w:b/>
        </w:rPr>
        <w:t>AND</w:t>
      </w:r>
    </w:p>
    <w:p>
      <w:pPr>
        <w:pStyle w:val="Normal"/>
        <w:jc w:val="center"/>
        <w:rPr>
          <w:b/>
        </w:rPr>
      </w:pPr>
      <w:r>
        <w:rPr>
          <w:b/>
        </w:rPr>
      </w:r>
    </w:p>
    <w:p>
      <w:pPr>
        <w:pStyle w:val="Normal"/>
        <w:jc w:val="center"/>
        <w:rPr/>
      </w:pPr>
      <w:r>
        <w:rPr/>
      </w:r>
    </w:p>
    <w:p>
      <w:pPr>
        <w:pStyle w:val="Normal"/>
        <w:jc w:val="center"/>
        <w:rPr>
          <w:b/>
          <w:sz w:val="32"/>
        </w:rPr>
      </w:pPr>
      <w:r>
        <w:rPr>
          <w:b/>
          <w:sz w:val="32"/>
        </w:rPr>
        <w:t>COASTAL POWER COMPANY</w:t>
      </w:r>
    </w:p>
    <w:p>
      <w:pPr>
        <w:pStyle w:val="Normal"/>
        <w:jc w:val="center"/>
        <w:rPr>
          <w:b/>
          <w:sz w:val="32"/>
        </w:rPr>
      </w:pPr>
      <w:r>
        <w:rPr>
          <w:b/>
          <w:sz w:val="32"/>
        </w:rPr>
      </w:r>
    </w:p>
    <w:p>
      <w:pPr>
        <w:pStyle w:val="Normal"/>
        <w:tabs>
          <w:tab w:val="clear" w:pos="720"/>
          <w:tab w:val="center" w:pos="4680" w:leader="none"/>
        </w:tabs>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tabs>
          <w:tab w:val="clear" w:pos="720"/>
          <w:tab w:val="center" w:pos="4680" w:leader="none"/>
        </w:tabs>
        <w:jc w:val="center"/>
        <w:rPr>
          <w:b/>
          <w:sz w:val="28"/>
        </w:rPr>
      </w:pPr>
      <w:r>
        <w:rPr>
          <w:b/>
          <w:sz w:val="28"/>
        </w:rPr>
      </w:r>
    </w:p>
    <w:p>
      <w:pPr>
        <w:pStyle w:val="Normal"/>
        <w:numPr>
          <w:ilvl w:val="0"/>
          <w:numId w:val="0"/>
        </w:numPr>
        <w:tabs>
          <w:tab w:val="clear" w:pos="720"/>
          <w:tab w:val="center" w:pos="4680" w:leader="none"/>
        </w:tabs>
        <w:jc w:val="center"/>
        <w:outlineLvl w:val="0"/>
        <w:rPr>
          <w:sz w:val="28"/>
        </w:rPr>
      </w:pPr>
      <w:r>
        <w:rPr>
          <w:b/>
          <w:sz w:val="28"/>
        </w:rPr>
        <w:t>Dated as of __________ __, 200_</w:t>
      </w:r>
    </w:p>
    <w:p>
      <w:pPr>
        <w:pStyle w:val="Normal"/>
        <w:jc w:val="center"/>
        <w:rPr>
          <w:sz w:val="28"/>
        </w:rPr>
      </w:pPr>
      <w:r>
        <w:rPr>
          <w:sz w:val="28"/>
        </w:rPr>
      </w:r>
    </w:p>
    <w:p>
      <w:pPr>
        <w:pStyle w:val="Normal"/>
        <w:jc w:val="center"/>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sectPr>
          <w:headerReference w:type="default" r:id="rId2"/>
          <w:type w:val="nextPage"/>
          <w:pgSz w:w="12240" w:h="15840"/>
          <w:pgMar w:left="1440" w:right="1440" w:gutter="0" w:header="2160" w:top="2216" w:footer="0" w:bottom="720"/>
          <w:pgNumType w:fmt="decimal"/>
          <w:formProt w:val="false"/>
          <w:textDirection w:val="lrTb"/>
          <w:docGrid w:type="default" w:linePitch="360" w:charSpace="0"/>
        </w:sectPr>
        <w:pStyle w:val="Normal"/>
        <w:spacing w:lineRule="exact" w:line="57"/>
        <w:rPr>
          <w:sz w:val="28"/>
          <w:lang w:val="en-CA"/>
        </w:rPr>
      </w:pPr>
      <w:r>
        <w:rPr>
          <w:sz w:val="28"/>
          <w:lang w:val="en-CA"/>
        </w:rPr>
        <mc:AlternateContent>
          <mc:Choice Requires="wps">
            <w:drawing>
              <wp:anchor behindDoc="1" distT="0" distB="0" distL="114935" distR="114935" simplePos="0" locked="0" layoutInCell="0" allowOverlap="1" relativeHeight="5">
                <wp:simplePos x="0" y="0"/>
                <wp:positionH relativeFrom="page">
                  <wp:posOffset>914400</wp:posOffset>
                </wp:positionH>
                <wp:positionV relativeFrom="paragraph">
                  <wp:posOffset>635</wp:posOffset>
                </wp:positionV>
                <wp:extent cx="5943600" cy="36195"/>
                <wp:effectExtent l="0" t="635" r="0" b="0"/>
                <wp:wrapNone/>
                <wp:docPr id="2" name=""/>
                <a:graphic xmlns:a="http://schemas.openxmlformats.org/drawingml/2006/main">
                  <a:graphicData uri="http://schemas.microsoft.com/office/word/2010/wordprocessingShape">
                    <wps:wsp>
                      <wps:cNvSpPr/>
                      <wps:spPr>
                        <a:xfrm>
                          <a:off x="0" y="0"/>
                          <a:ext cx="5943600" cy="36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2.8pt;mso-wrap-style:none;v-text-anchor:middle;mso-position-horizontal-relative:page">
                <v:fill o:detectmouseclick="t" type="solid" color2="white"/>
                <v:stroke color="#3465a4" joinstyle="round" endcap="flat"/>
                <w10:wrap type="none"/>
              </v:rect>
            </w:pict>
          </mc:Fallback>
        </mc:AlternateContent>
      </w:r>
    </w:p>
    <w:p>
      <w:pPr>
        <w:pStyle w:val="Normal"/>
        <w:numPr>
          <w:ilvl w:val="0"/>
          <w:numId w:val="0"/>
        </w:numPr>
        <w:tabs>
          <w:tab w:val="clear" w:pos="720"/>
          <w:tab w:val="center" w:pos="4680" w:leader="none"/>
        </w:tabs>
        <w:jc w:val="center"/>
        <w:outlineLvl w:val="0"/>
        <w:rPr/>
      </w:pPr>
      <w:r>
        <w:rPr/>
        <w:t>TABLE OF CONTENTS</w:t>
      </w:r>
    </w:p>
    <w:p>
      <w:pPr>
        <w:pStyle w:val="Normal"/>
        <w:tabs>
          <w:tab w:val="clear" w:pos="720"/>
          <w:tab w:val="center" w:pos="4680" w:leader="none"/>
        </w:tabs>
        <w:jc w:val="center"/>
        <w:rPr/>
      </w:pPr>
      <w:r>
        <w:rPr/>
      </w:r>
    </w:p>
    <w:sdt>
      <w:sdtPr>
        <w:docPartObj>
          <w:docPartGallery w:val="Table of Contents"/>
          <w:docPartUnique w:val="true"/>
        </w:docPartObj>
      </w:sdtPr>
      <w:sdtContent>
        <w:p>
          <w:pPr>
            <w:pStyle w:val="TOC1"/>
            <w:widowControl w:val="false"/>
            <w:spacing w:before="240" w:after="0"/>
            <w:ind w:hanging="720" w:start="720" w:end="0"/>
            <w:rPr>
              <w:sz w:val="22"/>
              <w:lang w:val="en-CA"/>
            </w:rPr>
          </w:pPr>
          <w:r>
            <w:fldChar w:fldCharType="begin"/>
          </w:r>
          <w:r>
            <w:rPr>
              <w:sz w:val="22"/>
              <w:lang w:val="en-CA"/>
            </w:rPr>
            <w:instrText xml:space="preserve">TOC \f</w:instrText>
          </w:r>
          <w:r>
            <w:rPr>
              <w:sz w:val="22"/>
              <w:lang w:val="en-CA"/>
            </w:rPr>
            <w:fldChar w:fldCharType="separate"/>
          </w:r>
          <w:r>
            <w:rPr>
              <w:sz w:val="22"/>
              <w:lang w:val="en-CA"/>
            </w:rPr>
            <w:t>ARTICLE I</w:t>
            <w:tab/>
            <w:t>DEFINITIONS</w:t>
            <w:tab/>
          </w:r>
          <w:hyperlink w:anchor="__RefHeading___Toc500080710">
            <w:r>
              <w:rPr>
                <w:rStyle w:val="IndexLink"/>
                <w:sz w:val="22"/>
                <w:lang w:val="en-CA"/>
              </w:rPr>
              <w:t>1</w:t>
            </w:r>
          </w:hyperlink>
        </w:p>
        <w:p>
          <w:pPr>
            <w:pStyle w:val="TOC2"/>
            <w:rPr/>
          </w:pPr>
          <w:r>
            <w:rPr/>
            <w:t>Section 1.1</w:t>
            <w:tab/>
          </w:r>
          <w:r>
            <w:rPr>
              <w:u w:val="single"/>
            </w:rPr>
            <w:t>Definitions</w:t>
          </w:r>
          <w:r>
            <w:rPr/>
            <w:tab/>
          </w:r>
          <w:hyperlink w:anchor="__RefHeading___Toc500080711">
            <w:r>
              <w:rPr>
                <w:rStyle w:val="IndexLink"/>
              </w:rPr>
              <w:t>1</w:t>
            </w:r>
          </w:hyperlink>
        </w:p>
        <w:p>
          <w:pPr>
            <w:pStyle w:val="TOC2"/>
            <w:rPr/>
          </w:pPr>
          <w:r>
            <w:rPr/>
            <w:t>Section 1.2</w:t>
            <w:tab/>
          </w:r>
          <w:r>
            <w:rPr>
              <w:u w:val="single"/>
            </w:rPr>
            <w:t>Rules of Construction</w:t>
          </w:r>
          <w:r>
            <w:rPr/>
            <w:tab/>
          </w:r>
          <w:hyperlink w:anchor="__RefHeading___Toc500080712">
            <w:r>
              <w:rPr>
                <w:rStyle w:val="IndexLink"/>
              </w:rPr>
              <w:t>4</w:t>
            </w:r>
          </w:hyperlink>
        </w:p>
        <w:p>
          <w:pPr>
            <w:pStyle w:val="TOC1"/>
            <w:rPr/>
          </w:pPr>
          <w:r>
            <w:rPr/>
            <w:t>ARTICLE II</w:t>
            <w:tab/>
            <w:t>PURCHASE AND SALE OF INTERESTS</w:t>
            <w:tab/>
          </w:r>
          <w:hyperlink w:anchor="__RefHeading___Toc500080713">
            <w:r>
              <w:rPr>
                <w:rStyle w:val="IndexLink"/>
              </w:rPr>
              <w:t>5</w:t>
            </w:r>
          </w:hyperlink>
        </w:p>
        <w:p>
          <w:pPr>
            <w:pStyle w:val="TOC2"/>
            <w:rPr/>
          </w:pPr>
          <w:r>
            <w:rPr/>
            <w:t>Section 2.1</w:t>
            <w:tab/>
          </w:r>
          <w:r>
            <w:rPr>
              <w:u w:val="single"/>
            </w:rPr>
            <w:t>Grant of Option</w:t>
          </w:r>
          <w:r>
            <w:rPr/>
            <w:tab/>
          </w:r>
          <w:hyperlink w:anchor="__RefHeading___Toc500080714">
            <w:r>
              <w:rPr>
                <w:rStyle w:val="IndexLink"/>
              </w:rPr>
              <w:t>5</w:t>
            </w:r>
          </w:hyperlink>
        </w:p>
        <w:p>
          <w:pPr>
            <w:pStyle w:val="TOC2"/>
            <w:rPr/>
          </w:pPr>
          <w:r>
            <w:rPr/>
            <w:t>Section 2.2</w:t>
            <w:tab/>
          </w:r>
          <w:r>
            <w:rPr>
              <w:u w:val="single"/>
            </w:rPr>
            <w:t>Early Option Termination</w:t>
          </w:r>
          <w:r>
            <w:rPr/>
            <w:tab/>
          </w:r>
          <w:hyperlink w:anchor="__RefHeading___Toc500080715">
            <w:r>
              <w:rPr>
                <w:rStyle w:val="IndexLink"/>
              </w:rPr>
              <w:t>5</w:t>
            </w:r>
          </w:hyperlink>
        </w:p>
        <w:p>
          <w:pPr>
            <w:pStyle w:val="TOC2"/>
            <w:rPr/>
          </w:pPr>
          <w:r>
            <w:rPr/>
            <w:t>Section 2.3</w:t>
            <w:tab/>
          </w:r>
          <w:r>
            <w:rPr>
              <w:u w:val="single"/>
            </w:rPr>
            <w:t>Closings</w:t>
          </w:r>
          <w:r>
            <w:rPr/>
            <w:tab/>
          </w:r>
          <w:hyperlink w:anchor="__RefHeading___Toc500080716">
            <w:r>
              <w:rPr>
                <w:rStyle w:val="IndexLink"/>
              </w:rPr>
              <w:t>5</w:t>
            </w:r>
          </w:hyperlink>
        </w:p>
        <w:p>
          <w:pPr>
            <w:pStyle w:val="TOC2"/>
            <w:rPr/>
          </w:pPr>
          <w:r>
            <w:rPr/>
            <w:t>Section 2.4</w:t>
            <w:tab/>
          </w:r>
          <w:r>
            <w:rPr>
              <w:u w:val="single"/>
            </w:rPr>
            <w:t>Deliveries</w:t>
          </w:r>
          <w:r>
            <w:rPr/>
            <w:tab/>
          </w:r>
          <w:hyperlink w:anchor="__RefHeading___Toc500080717">
            <w:r>
              <w:rPr>
                <w:rStyle w:val="IndexLink"/>
              </w:rPr>
              <w:t>6</w:t>
            </w:r>
          </w:hyperlink>
        </w:p>
        <w:p>
          <w:pPr>
            <w:pStyle w:val="TOC2"/>
            <w:rPr/>
          </w:pPr>
          <w:r>
            <w:rPr/>
            <w:t>Section 2.5</w:t>
            <w:tab/>
          </w:r>
          <w:r>
            <w:rPr>
              <w:u w:val="single"/>
            </w:rPr>
            <w:t>Payment of Purchase Price</w:t>
          </w:r>
          <w:r>
            <w:rPr/>
            <w:tab/>
          </w:r>
          <w:hyperlink w:anchor="__RefHeading___Toc500080718">
            <w:r>
              <w:rPr>
                <w:rStyle w:val="IndexLink"/>
              </w:rPr>
              <w:t>6</w:t>
            </w:r>
          </w:hyperlink>
        </w:p>
        <w:p>
          <w:pPr>
            <w:pStyle w:val="TOC1"/>
            <w:rPr/>
          </w:pPr>
          <w:r>
            <w:rPr/>
            <w:t>ARTICLE III</w:t>
            <w:tab/>
            <w:t>REPRESENTATIONS AND WARRANTIES OF SELLER</w:t>
            <w:tab/>
          </w:r>
          <w:hyperlink w:anchor="__RefHeading___Toc500080719">
            <w:r>
              <w:rPr>
                <w:rStyle w:val="IndexLink"/>
              </w:rPr>
              <w:t>6</w:t>
            </w:r>
          </w:hyperlink>
        </w:p>
        <w:p>
          <w:pPr>
            <w:pStyle w:val="TOC2"/>
            <w:rPr/>
          </w:pPr>
          <w:r>
            <w:rPr/>
            <w:t>Section 3.1</w:t>
            <w:tab/>
          </w:r>
          <w:r>
            <w:rPr>
              <w:u w:val="single"/>
            </w:rPr>
            <w:t>Organization</w:t>
          </w:r>
          <w:r>
            <w:rPr/>
            <w:tab/>
          </w:r>
          <w:hyperlink w:anchor="__RefHeading___Toc500080720">
            <w:r>
              <w:rPr>
                <w:rStyle w:val="IndexLink"/>
              </w:rPr>
              <w:t>6</w:t>
            </w:r>
          </w:hyperlink>
        </w:p>
        <w:p>
          <w:pPr>
            <w:pStyle w:val="TOC2"/>
            <w:rPr/>
          </w:pPr>
          <w:r>
            <w:rPr/>
            <w:t>Section 3.2</w:t>
            <w:tab/>
          </w:r>
          <w:r>
            <w:rPr>
              <w:u w:val="single"/>
            </w:rPr>
            <w:t>No Prior Business</w:t>
          </w:r>
          <w:r>
            <w:rPr/>
            <w:tab/>
          </w:r>
          <w:hyperlink w:anchor="__RefHeading___Toc500080721">
            <w:r>
              <w:rPr>
                <w:rStyle w:val="IndexLink"/>
              </w:rPr>
              <w:t>6</w:t>
            </w:r>
          </w:hyperlink>
        </w:p>
        <w:p>
          <w:pPr>
            <w:pStyle w:val="TOC2"/>
            <w:rPr/>
          </w:pPr>
          <w:r>
            <w:rPr/>
            <w:t>Section 3.3</w:t>
            <w:tab/>
          </w:r>
          <w:r>
            <w:rPr>
              <w:u w:val="single"/>
            </w:rPr>
            <w:t>Capitalization; Title to Interests</w:t>
          </w:r>
          <w:r>
            <w:rPr/>
            <w:tab/>
          </w:r>
          <w:hyperlink w:anchor="__RefHeading___Toc500080722">
            <w:r>
              <w:rPr>
                <w:rStyle w:val="IndexLink"/>
              </w:rPr>
              <w:t>6</w:t>
            </w:r>
          </w:hyperlink>
        </w:p>
        <w:p>
          <w:pPr>
            <w:pStyle w:val="TOC2"/>
            <w:rPr/>
          </w:pPr>
          <w:r>
            <w:rPr/>
            <w:t>Section 3.4</w:t>
            <w:tab/>
          </w:r>
          <w:r>
            <w:rPr>
              <w:u w:val="single"/>
            </w:rPr>
            <w:t>Authority</w:t>
          </w:r>
          <w:r>
            <w:rPr/>
            <w:tab/>
          </w:r>
          <w:hyperlink w:anchor="__RefHeading___Toc500080723">
            <w:r>
              <w:rPr>
                <w:rStyle w:val="IndexLink"/>
              </w:rPr>
              <w:t>7</w:t>
            </w:r>
          </w:hyperlink>
        </w:p>
        <w:p>
          <w:pPr>
            <w:pStyle w:val="TOC2"/>
            <w:rPr/>
          </w:pPr>
          <w:r>
            <w:rPr/>
            <w:t>Section 3.5</w:t>
            <w:tab/>
          </w:r>
          <w:r>
            <w:rPr>
              <w:u w:val="single"/>
            </w:rPr>
            <w:t>Due Authorization, Execution, etc</w:t>
          </w:r>
          <w:r>
            <w:rPr/>
            <w:tab/>
          </w:r>
          <w:hyperlink w:anchor="__RefHeading___Toc500080724">
            <w:r>
              <w:rPr>
                <w:rStyle w:val="IndexLink"/>
              </w:rPr>
              <w:t>7</w:t>
            </w:r>
          </w:hyperlink>
        </w:p>
        <w:p>
          <w:pPr>
            <w:pStyle w:val="TOC2"/>
            <w:rPr/>
          </w:pPr>
          <w:r>
            <w:rPr/>
            <w:t>Section 3.6</w:t>
            <w:tab/>
          </w:r>
          <w:r>
            <w:rPr>
              <w:u w:val="single"/>
            </w:rPr>
            <w:t>No Violation</w:t>
          </w:r>
          <w:r>
            <w:rPr/>
            <w:tab/>
          </w:r>
          <w:hyperlink w:anchor="__RefHeading___Toc500080725">
            <w:r>
              <w:rPr>
                <w:rStyle w:val="IndexLink"/>
              </w:rPr>
              <w:t>7</w:t>
            </w:r>
          </w:hyperlink>
        </w:p>
        <w:p>
          <w:pPr>
            <w:pStyle w:val="TOC2"/>
            <w:rPr/>
          </w:pPr>
          <w:r>
            <w:rPr/>
            <w:t>Section 3.7</w:t>
            <w:tab/>
          </w:r>
          <w:r>
            <w:rPr>
              <w:u w:val="single"/>
            </w:rPr>
            <w:t>Litigation, Proceedings, etc</w:t>
          </w:r>
          <w:r>
            <w:rPr/>
            <w:tab/>
          </w:r>
          <w:hyperlink w:anchor="__RefHeading___Toc500080726">
            <w:r>
              <w:rPr>
                <w:rStyle w:val="IndexLink"/>
              </w:rPr>
              <w:t>7</w:t>
            </w:r>
          </w:hyperlink>
        </w:p>
        <w:p>
          <w:pPr>
            <w:pStyle w:val="TOC2"/>
            <w:rPr/>
          </w:pPr>
          <w:r>
            <w:rPr/>
            <w:t>Section 3.8</w:t>
            <w:tab/>
          </w:r>
          <w:r>
            <w:rPr>
              <w:u w:val="single"/>
            </w:rPr>
            <w:t>Consents and Waiver</w:t>
          </w:r>
          <w:r>
            <w:rPr/>
            <w:tab/>
          </w:r>
          <w:hyperlink w:anchor="__RefHeading___Toc500080727">
            <w:r>
              <w:rPr>
                <w:rStyle w:val="IndexLink"/>
              </w:rPr>
              <w:t>7</w:t>
            </w:r>
          </w:hyperlink>
        </w:p>
        <w:p>
          <w:pPr>
            <w:pStyle w:val="TOC2"/>
            <w:rPr/>
          </w:pPr>
          <w:r>
            <w:rPr/>
            <w:t>Section 3.9</w:t>
            <w:tab/>
          </w:r>
          <w:r>
            <w:rPr>
              <w:u w:val="single"/>
            </w:rPr>
            <w:t>Compliance with Legal Requirements</w:t>
          </w:r>
          <w:r>
            <w:rPr/>
            <w:tab/>
          </w:r>
          <w:hyperlink w:anchor="__RefHeading___Toc500080728">
            <w:r>
              <w:rPr>
                <w:rStyle w:val="IndexLink"/>
              </w:rPr>
              <w:t>7</w:t>
            </w:r>
          </w:hyperlink>
        </w:p>
        <w:p>
          <w:pPr>
            <w:pStyle w:val="TOC2"/>
            <w:rPr/>
          </w:pPr>
          <w:r>
            <w:rPr/>
            <w:t>Section 3.10</w:t>
            <w:tab/>
          </w:r>
          <w:r>
            <w:rPr>
              <w:u w:val="single"/>
            </w:rPr>
            <w:t>Environmental; Hazardous Materials</w:t>
          </w:r>
          <w:r>
            <w:rPr/>
            <w:tab/>
          </w:r>
          <w:hyperlink w:anchor="__RefHeading___Toc500080729">
            <w:r>
              <w:rPr>
                <w:rStyle w:val="IndexLink"/>
              </w:rPr>
              <w:t>8</w:t>
            </w:r>
          </w:hyperlink>
        </w:p>
        <w:p>
          <w:pPr>
            <w:pStyle w:val="TOC2"/>
            <w:rPr/>
          </w:pPr>
          <w:r>
            <w:rPr/>
            <w:t>Section 3.11</w:t>
            <w:tab/>
          </w:r>
          <w:r>
            <w:rPr>
              <w:u w:val="single"/>
            </w:rPr>
            <w:t>Availability of Certain Information</w:t>
          </w:r>
          <w:r>
            <w:rPr/>
            <w:tab/>
          </w:r>
          <w:hyperlink w:anchor="__RefHeading___Toc500080730">
            <w:r>
              <w:rPr>
                <w:rStyle w:val="IndexLink"/>
              </w:rPr>
              <w:t>8</w:t>
            </w:r>
          </w:hyperlink>
        </w:p>
        <w:p>
          <w:pPr>
            <w:pStyle w:val="TOC2"/>
            <w:rPr/>
          </w:pPr>
          <w:r>
            <w:rPr/>
            <w:t>Section 3.12</w:t>
            <w:tab/>
          </w:r>
          <w:r>
            <w:rPr>
              <w:u w:val="single"/>
            </w:rPr>
            <w:t>Securities Laws</w:t>
          </w:r>
          <w:r>
            <w:rPr/>
            <w:tab/>
          </w:r>
          <w:hyperlink w:anchor="__RefHeading___Toc500080731">
            <w:r>
              <w:rPr>
                <w:rStyle w:val="IndexLink"/>
              </w:rPr>
              <w:t>8</w:t>
            </w:r>
          </w:hyperlink>
        </w:p>
        <w:p>
          <w:pPr>
            <w:pStyle w:val="TOC2"/>
            <w:rPr/>
          </w:pPr>
          <w:r>
            <w:rPr/>
            <w:t>Section 3.13</w:t>
            <w:tab/>
          </w:r>
          <w:r>
            <w:rPr>
              <w:u w:val="single"/>
            </w:rPr>
            <w:t>Bankruptcy</w:t>
          </w:r>
          <w:r>
            <w:rPr/>
            <w:tab/>
          </w:r>
          <w:hyperlink w:anchor="__RefHeading___Toc500080732">
            <w:r>
              <w:rPr>
                <w:rStyle w:val="IndexLink"/>
              </w:rPr>
              <w:t>8</w:t>
            </w:r>
          </w:hyperlink>
        </w:p>
        <w:p>
          <w:pPr>
            <w:pStyle w:val="TOC2"/>
            <w:rPr/>
          </w:pPr>
          <w:r>
            <w:rPr/>
            <w:t>Section 3.14</w:t>
            <w:tab/>
          </w:r>
          <w:r>
            <w:rPr>
              <w:u w:val="single"/>
            </w:rPr>
            <w:t>No Employees; No Plan</w:t>
          </w:r>
          <w:r>
            <w:rPr/>
            <w:tab/>
          </w:r>
          <w:hyperlink w:anchor="__RefHeading___Toc500080733">
            <w:r>
              <w:rPr>
                <w:rStyle w:val="IndexLink"/>
              </w:rPr>
              <w:t>8</w:t>
            </w:r>
          </w:hyperlink>
        </w:p>
        <w:p>
          <w:pPr>
            <w:pStyle w:val="TOC2"/>
            <w:rPr/>
          </w:pPr>
          <w:r>
            <w:rPr/>
            <w:t>Section 3.15</w:t>
            <w:tab/>
          </w:r>
          <w:r>
            <w:rPr>
              <w:u w:val="single"/>
            </w:rPr>
            <w:t>Project Documents</w:t>
          </w:r>
          <w:r>
            <w:rPr/>
            <w:tab/>
          </w:r>
          <w:hyperlink w:anchor="__RefHeading___Toc500080734">
            <w:r>
              <w:rPr>
                <w:rStyle w:val="IndexLink"/>
              </w:rPr>
              <w:t>8</w:t>
            </w:r>
          </w:hyperlink>
        </w:p>
        <w:p>
          <w:pPr>
            <w:pStyle w:val="TOC2"/>
            <w:rPr/>
          </w:pPr>
          <w:r>
            <w:rPr/>
            <w:t>Section 3.16</w:t>
            <w:tab/>
          </w:r>
          <w:r>
            <w:rPr>
              <w:u w:val="single"/>
            </w:rPr>
            <w:t>Tax Matters</w:t>
          </w:r>
          <w:r>
            <w:rPr/>
            <w:tab/>
          </w:r>
          <w:hyperlink w:anchor="__RefHeading___Toc500080735">
            <w:r>
              <w:rPr>
                <w:rStyle w:val="IndexLink"/>
              </w:rPr>
              <w:t>9</w:t>
            </w:r>
          </w:hyperlink>
        </w:p>
        <w:p>
          <w:pPr>
            <w:pStyle w:val="TOC2"/>
            <w:rPr/>
          </w:pPr>
          <w:r>
            <w:rPr/>
            <w:t>Section 3.17</w:t>
            <w:tab/>
          </w:r>
          <w:r>
            <w:rPr>
              <w:u w:val="single"/>
            </w:rPr>
            <w:t>Not a Public Utility</w:t>
          </w:r>
          <w:r>
            <w:rPr/>
            <w:tab/>
          </w:r>
          <w:hyperlink w:anchor="__RefHeading___Toc500080736">
            <w:r>
              <w:rPr>
                <w:rStyle w:val="IndexLink"/>
              </w:rPr>
              <w:t>9</w:t>
            </w:r>
          </w:hyperlink>
        </w:p>
        <w:p>
          <w:pPr>
            <w:pStyle w:val="TOC2"/>
            <w:rPr/>
          </w:pPr>
          <w:r>
            <w:rPr/>
            <w:t>Section 3.18</w:t>
            <w:tab/>
          </w:r>
          <w:r>
            <w:rPr>
              <w:u w:val="single"/>
            </w:rPr>
            <w:t>No Undisclosed Liabilities</w:t>
          </w:r>
          <w:r>
            <w:rPr/>
            <w:tab/>
          </w:r>
          <w:hyperlink w:anchor="__RefHeading___Toc500080737">
            <w:r>
              <w:rPr>
                <w:rStyle w:val="IndexLink"/>
              </w:rPr>
              <w:t>9</w:t>
            </w:r>
          </w:hyperlink>
        </w:p>
        <w:p>
          <w:pPr>
            <w:pStyle w:val="TOC2"/>
            <w:rPr/>
          </w:pPr>
          <w:r>
            <w:rPr/>
            <w:t>Section 3.19</w:t>
            <w:tab/>
          </w:r>
          <w:r>
            <w:rPr>
              <w:u w:val="single"/>
            </w:rPr>
            <w:t>Brokers or Finders</w:t>
          </w:r>
          <w:r>
            <w:rPr/>
            <w:tab/>
          </w:r>
          <w:hyperlink w:anchor="__RefHeading___Toc500080738">
            <w:r>
              <w:rPr>
                <w:rStyle w:val="IndexLink"/>
              </w:rPr>
              <w:t>9</w:t>
            </w:r>
          </w:hyperlink>
        </w:p>
        <w:p>
          <w:pPr>
            <w:pStyle w:val="TOC1"/>
            <w:rPr/>
          </w:pPr>
          <w:r>
            <w:rPr/>
            <w:t>ARTICLE IV</w:t>
            <w:tab/>
            <w:t>REPRESENTATIONS AND WARRANTIES OF THE PURCHASER</w:t>
            <w:tab/>
          </w:r>
          <w:hyperlink w:anchor="__RefHeading___Toc500080739">
            <w:r>
              <w:rPr>
                <w:rStyle w:val="IndexLink"/>
              </w:rPr>
              <w:t>9</w:t>
            </w:r>
          </w:hyperlink>
        </w:p>
        <w:p>
          <w:pPr>
            <w:pStyle w:val="TOC2"/>
            <w:rPr/>
          </w:pPr>
          <w:r>
            <w:rPr/>
            <w:t>Section 4.1</w:t>
            <w:tab/>
          </w:r>
          <w:r>
            <w:rPr>
              <w:u w:val="single"/>
            </w:rPr>
            <w:t>Organization</w:t>
          </w:r>
          <w:r>
            <w:rPr/>
            <w:tab/>
          </w:r>
          <w:hyperlink w:anchor="__RefHeading___Toc500080740">
            <w:r>
              <w:rPr>
                <w:rStyle w:val="IndexLink"/>
              </w:rPr>
              <w:t>9</w:t>
            </w:r>
          </w:hyperlink>
        </w:p>
        <w:p>
          <w:pPr>
            <w:pStyle w:val="TOC2"/>
            <w:rPr/>
          </w:pPr>
          <w:r>
            <w:rPr/>
            <w:t>Section 4.2</w:t>
            <w:tab/>
          </w:r>
          <w:r>
            <w:rPr>
              <w:u w:val="single"/>
            </w:rPr>
            <w:t>Authority</w:t>
          </w:r>
          <w:r>
            <w:rPr/>
            <w:tab/>
          </w:r>
          <w:hyperlink w:anchor="__RefHeading___Toc500080741">
            <w:r>
              <w:rPr>
                <w:rStyle w:val="IndexLink"/>
              </w:rPr>
              <w:t>10</w:t>
            </w:r>
          </w:hyperlink>
        </w:p>
        <w:p>
          <w:pPr>
            <w:pStyle w:val="TOC2"/>
            <w:rPr/>
          </w:pPr>
          <w:r>
            <w:rPr/>
            <w:t>Section 4.4</w:t>
            <w:tab/>
          </w:r>
          <w:r>
            <w:rPr>
              <w:u w:val="single"/>
            </w:rPr>
            <w:t>Due Authorization, Execution, etc.</w:t>
          </w:r>
          <w:r>
            <w:rPr/>
            <w:tab/>
          </w:r>
          <w:hyperlink w:anchor="__RefHeading___Toc500080742">
            <w:r>
              <w:rPr>
                <w:rStyle w:val="IndexLink"/>
              </w:rPr>
              <w:t>10</w:t>
            </w:r>
          </w:hyperlink>
        </w:p>
        <w:p>
          <w:pPr>
            <w:pStyle w:val="TOC2"/>
            <w:rPr/>
          </w:pPr>
          <w:r>
            <w:rPr/>
            <w:t>Section 4.5</w:t>
            <w:tab/>
          </w:r>
          <w:r>
            <w:rPr>
              <w:u w:val="single"/>
            </w:rPr>
            <w:t>No Violation</w:t>
          </w:r>
          <w:r>
            <w:rPr/>
            <w:tab/>
          </w:r>
          <w:hyperlink w:anchor="__RefHeading___Toc500080743">
            <w:r>
              <w:rPr>
                <w:rStyle w:val="IndexLink"/>
              </w:rPr>
              <w:t>10</w:t>
            </w:r>
          </w:hyperlink>
        </w:p>
        <w:p>
          <w:pPr>
            <w:pStyle w:val="TOC2"/>
            <w:rPr/>
          </w:pPr>
          <w:r>
            <w:rPr/>
            <w:t>Section 4.5</w:t>
            <w:tab/>
          </w:r>
          <w:r>
            <w:rPr>
              <w:u w:val="single"/>
            </w:rPr>
            <w:t>Litigation, Proceedings, etc.</w:t>
          </w:r>
          <w:r>
            <w:rPr/>
            <w:tab/>
          </w:r>
          <w:hyperlink w:anchor="__RefHeading___Toc500080744">
            <w:r>
              <w:rPr>
                <w:rStyle w:val="IndexLink"/>
              </w:rPr>
              <w:t>10</w:t>
            </w:r>
          </w:hyperlink>
        </w:p>
        <w:p>
          <w:pPr>
            <w:pStyle w:val="TOC2"/>
            <w:rPr/>
          </w:pPr>
          <w:r>
            <w:rPr/>
            <w:t>Section 4.6</w:t>
            <w:tab/>
          </w:r>
          <w:r>
            <w:rPr>
              <w:u w:val="single"/>
            </w:rPr>
            <w:t>Consents and Waivers</w:t>
          </w:r>
          <w:r>
            <w:rPr/>
            <w:tab/>
          </w:r>
          <w:hyperlink w:anchor="__RefHeading___Toc500080745">
            <w:r>
              <w:rPr>
                <w:rStyle w:val="IndexLink"/>
              </w:rPr>
              <w:t>10</w:t>
            </w:r>
          </w:hyperlink>
        </w:p>
        <w:p>
          <w:pPr>
            <w:pStyle w:val="TOC2"/>
            <w:rPr/>
          </w:pPr>
          <w:r>
            <w:rPr/>
            <w:t>Section 4.7</w:t>
            <w:tab/>
          </w:r>
          <w:r>
            <w:rPr>
              <w:u w:val="single"/>
            </w:rPr>
            <w:t>Investment</w:t>
          </w:r>
          <w:r>
            <w:rPr/>
            <w:tab/>
          </w:r>
          <w:hyperlink w:anchor="__RefHeading___Toc500080746">
            <w:r>
              <w:rPr>
                <w:rStyle w:val="IndexLink"/>
              </w:rPr>
              <w:t>10</w:t>
            </w:r>
          </w:hyperlink>
        </w:p>
        <w:p>
          <w:pPr>
            <w:pStyle w:val="TOC2"/>
            <w:rPr/>
          </w:pPr>
          <w:r>
            <w:rPr/>
            <w:t>Section 4.8</w:t>
            <w:tab/>
          </w:r>
          <w:r>
            <w:rPr>
              <w:u w:val="single"/>
            </w:rPr>
            <w:t>Nature of Purchaser</w:t>
          </w:r>
          <w:r>
            <w:rPr/>
            <w:tab/>
          </w:r>
          <w:hyperlink w:anchor="__RefHeading___Toc500080747">
            <w:r>
              <w:rPr>
                <w:rStyle w:val="IndexLink"/>
              </w:rPr>
              <w:t>11</w:t>
            </w:r>
          </w:hyperlink>
        </w:p>
        <w:p>
          <w:pPr>
            <w:pStyle w:val="TOC2"/>
            <w:rPr/>
          </w:pPr>
          <w:r>
            <w:rPr/>
            <w:t>Section 4.9</w:t>
            <w:tab/>
          </w:r>
          <w:r>
            <w:rPr>
              <w:u w:val="single"/>
            </w:rPr>
            <w:t>Receipt of Information; Authorization</w:t>
          </w:r>
          <w:r>
            <w:rPr/>
            <w:tab/>
          </w:r>
          <w:hyperlink w:anchor="__RefHeading___Toc500080748">
            <w:r>
              <w:rPr>
                <w:rStyle w:val="IndexLink"/>
              </w:rPr>
              <w:t>11</w:t>
            </w:r>
          </w:hyperlink>
        </w:p>
        <w:p>
          <w:pPr>
            <w:pStyle w:val="TOC1"/>
            <w:rPr/>
          </w:pPr>
          <w:r>
            <w:rPr/>
            <w:t>ARTICLE V</w:t>
            <w:tab/>
            <w:t>CONDITIONS PRECEDENT TO CLOSING</w:t>
            <w:tab/>
          </w:r>
          <w:hyperlink w:anchor="__RefHeading___Toc500080749">
            <w:r>
              <w:rPr>
                <w:rStyle w:val="IndexLink"/>
              </w:rPr>
              <w:t>11</w:t>
            </w:r>
          </w:hyperlink>
        </w:p>
        <w:p>
          <w:pPr>
            <w:pStyle w:val="TOC2"/>
            <w:rPr/>
          </w:pPr>
          <w:r>
            <w:rPr/>
            <w:t>Section 5.1</w:t>
            <w:tab/>
          </w:r>
          <w:r>
            <w:rPr>
              <w:u w:val="single"/>
            </w:rPr>
            <w:t>Conditions Precedent to Obligations of Purchaser</w:t>
          </w:r>
          <w:r>
            <w:rPr/>
            <w:tab/>
          </w:r>
          <w:hyperlink w:anchor="__RefHeading___Toc500080750">
            <w:r>
              <w:rPr>
                <w:rStyle w:val="IndexLink"/>
              </w:rPr>
              <w:t>11</w:t>
            </w:r>
          </w:hyperlink>
        </w:p>
        <w:p>
          <w:pPr>
            <w:pStyle w:val="TOC2"/>
            <w:rPr/>
          </w:pPr>
          <w:r>
            <w:rPr/>
            <w:t>Section 5.2</w:t>
            <w:tab/>
          </w:r>
          <w:r>
            <w:rPr>
              <w:u w:val="single"/>
            </w:rPr>
            <w:t>Conditions Precedent to Obligations of Seller</w:t>
          </w:r>
          <w:r>
            <w:rPr/>
            <w:tab/>
          </w:r>
          <w:hyperlink w:anchor="__RefHeading___Toc500080751">
            <w:r>
              <w:rPr>
                <w:rStyle w:val="IndexLink"/>
              </w:rPr>
              <w:t>12</w:t>
            </w:r>
          </w:hyperlink>
        </w:p>
        <w:p>
          <w:pPr>
            <w:pStyle w:val="TOC1"/>
            <w:rPr/>
          </w:pPr>
          <w:r>
            <w:rPr/>
            <w:t>ARTICLE VI</w:t>
            <w:tab/>
            <w:t>COVENANTS</w:t>
            <w:tab/>
          </w:r>
          <w:hyperlink w:anchor="__RefHeading___Toc500080752">
            <w:r>
              <w:rPr>
                <w:rStyle w:val="IndexLink"/>
              </w:rPr>
              <w:t>12</w:t>
            </w:r>
          </w:hyperlink>
        </w:p>
        <w:p>
          <w:pPr>
            <w:pStyle w:val="TOC2"/>
            <w:rPr/>
          </w:pPr>
          <w:r>
            <w:rPr/>
            <w:t>Section 6.1</w:t>
            <w:tab/>
          </w:r>
          <w:r>
            <w:rPr>
              <w:u w:val="single"/>
            </w:rPr>
            <w:t>Confidentiality</w:t>
          </w:r>
          <w:r>
            <w:rPr/>
            <w:tab/>
          </w:r>
          <w:hyperlink w:anchor="__RefHeading___Toc500080753">
            <w:r>
              <w:rPr>
                <w:rStyle w:val="IndexLink"/>
              </w:rPr>
              <w:t>12</w:t>
            </w:r>
          </w:hyperlink>
        </w:p>
        <w:p>
          <w:pPr>
            <w:pStyle w:val="TOC2"/>
            <w:rPr/>
          </w:pPr>
          <w:r>
            <w:rPr/>
            <w:t>Section 6.2</w:t>
            <w:tab/>
          </w:r>
          <w:r>
            <w:rPr>
              <w:u w:val="single"/>
            </w:rPr>
            <w:t>Project Obligations</w:t>
          </w:r>
          <w:r>
            <w:rPr/>
            <w:tab/>
          </w:r>
          <w:hyperlink w:anchor="__RefHeading___Toc500080754">
            <w:r>
              <w:rPr>
                <w:rStyle w:val="IndexLink"/>
              </w:rPr>
              <w:t>13</w:t>
            </w:r>
          </w:hyperlink>
        </w:p>
        <w:p>
          <w:pPr>
            <w:pStyle w:val="TOC2"/>
            <w:rPr/>
          </w:pPr>
          <w:r>
            <w:rPr/>
            <w:t>Section 6.3</w:t>
            <w:tab/>
          </w:r>
          <w:r>
            <w:rPr>
              <w:u w:val="single"/>
            </w:rPr>
            <w:t>Conduct of Business</w:t>
          </w:r>
          <w:r>
            <w:rPr/>
            <w:tab/>
          </w:r>
          <w:hyperlink w:anchor="__RefHeading___Toc500080755">
            <w:r>
              <w:rPr>
                <w:rStyle w:val="IndexLink"/>
              </w:rPr>
              <w:t>13</w:t>
            </w:r>
          </w:hyperlink>
        </w:p>
        <w:p>
          <w:pPr>
            <w:pStyle w:val="TOC1"/>
            <w:rPr/>
          </w:pPr>
          <w:r>
            <w:rPr/>
            <w:t xml:space="preserve">ARTICLE VII </w:t>
            <w:tab/>
            <w:t>MISCELLANEOUS</w:t>
            <w:tab/>
          </w:r>
          <w:hyperlink w:anchor="__RefHeading___Toc500080756">
            <w:r>
              <w:rPr>
                <w:rStyle w:val="IndexLink"/>
              </w:rPr>
              <w:t>13</w:t>
            </w:r>
          </w:hyperlink>
        </w:p>
        <w:p>
          <w:pPr>
            <w:pStyle w:val="TOC2"/>
            <w:rPr/>
          </w:pPr>
          <w:r>
            <w:rPr/>
            <w:t>Section 7.1</w:t>
            <w:tab/>
          </w:r>
          <w:r>
            <w:rPr>
              <w:u w:val="single"/>
            </w:rPr>
            <w:t>Indemnification</w:t>
          </w:r>
          <w:r>
            <w:rPr/>
            <w:tab/>
          </w:r>
          <w:hyperlink w:anchor="__RefHeading___Toc500080757">
            <w:r>
              <w:rPr>
                <w:rStyle w:val="IndexLink"/>
              </w:rPr>
              <w:t>13</w:t>
            </w:r>
          </w:hyperlink>
        </w:p>
        <w:p>
          <w:pPr>
            <w:pStyle w:val="TOC2"/>
            <w:rPr/>
          </w:pPr>
          <w:r>
            <w:rPr/>
            <w:t>Section 7.2</w:t>
            <w:tab/>
          </w:r>
          <w:r>
            <w:rPr>
              <w:u w:val="single"/>
            </w:rPr>
            <w:t>Termination</w:t>
          </w:r>
          <w:r>
            <w:rPr/>
            <w:tab/>
          </w:r>
          <w:hyperlink w:anchor="__RefHeading___Toc500080758">
            <w:r>
              <w:rPr>
                <w:rStyle w:val="IndexLink"/>
              </w:rPr>
              <w:t>15</w:t>
            </w:r>
          </w:hyperlink>
        </w:p>
        <w:p>
          <w:pPr>
            <w:pStyle w:val="TOC2"/>
            <w:rPr/>
          </w:pPr>
          <w:r>
            <w:rPr/>
            <w:t>Section 7.3</w:t>
            <w:tab/>
          </w:r>
          <w:r>
            <w:rPr>
              <w:u w:val="single"/>
            </w:rPr>
            <w:t>No Waiver; Modifications in Writing</w:t>
          </w:r>
          <w:r>
            <w:rPr/>
            <w:tab/>
          </w:r>
          <w:hyperlink w:anchor="__RefHeading___Toc500080759">
            <w:r>
              <w:rPr>
                <w:rStyle w:val="IndexLink"/>
              </w:rPr>
              <w:t>15</w:t>
            </w:r>
          </w:hyperlink>
        </w:p>
        <w:p>
          <w:pPr>
            <w:pStyle w:val="TOC2"/>
            <w:rPr/>
          </w:pPr>
          <w:r>
            <w:rPr/>
            <w:t>Section 7.4</w:t>
            <w:tab/>
          </w:r>
          <w:r>
            <w:rPr>
              <w:u w:val="single"/>
            </w:rPr>
            <w:t>Communications</w:t>
          </w:r>
          <w:r>
            <w:rPr/>
            <w:tab/>
          </w:r>
          <w:hyperlink w:anchor="__RefHeading___Toc500080760">
            <w:r>
              <w:rPr>
                <w:rStyle w:val="IndexLink"/>
              </w:rPr>
              <w:t>16</w:t>
            </w:r>
          </w:hyperlink>
        </w:p>
        <w:p>
          <w:pPr>
            <w:pStyle w:val="TOC2"/>
            <w:rPr/>
          </w:pPr>
          <w:r>
            <w:rPr/>
            <w:t>Section 7.5</w:t>
            <w:tab/>
          </w:r>
          <w:r>
            <w:rPr>
              <w:u w:val="single"/>
            </w:rPr>
            <w:t>Costs, Expenses and Taxes</w:t>
          </w:r>
          <w:r>
            <w:rPr/>
            <w:tab/>
          </w:r>
          <w:hyperlink w:anchor="__RefHeading___Toc500080761">
            <w:r>
              <w:rPr>
                <w:rStyle w:val="IndexLink"/>
              </w:rPr>
              <w:t>18</w:t>
            </w:r>
          </w:hyperlink>
        </w:p>
        <w:p>
          <w:pPr>
            <w:pStyle w:val="TOC2"/>
            <w:rPr/>
          </w:pPr>
          <w:r>
            <w:rPr/>
            <w:t>Section 7.6</w:t>
            <w:tab/>
          </w:r>
          <w:r>
            <w:rPr>
              <w:u w:val="single"/>
            </w:rPr>
            <w:t>Execution in Counterparts</w:t>
          </w:r>
          <w:r>
            <w:rPr/>
            <w:tab/>
          </w:r>
          <w:hyperlink w:anchor="__RefHeading___Toc500080762">
            <w:r>
              <w:rPr>
                <w:rStyle w:val="IndexLink"/>
              </w:rPr>
              <w:t>18</w:t>
            </w:r>
          </w:hyperlink>
        </w:p>
        <w:p>
          <w:pPr>
            <w:pStyle w:val="TOC2"/>
            <w:rPr/>
          </w:pPr>
          <w:r>
            <w:rPr/>
            <w:t>Section 7.7</w:t>
            <w:tab/>
          </w:r>
          <w:r>
            <w:rPr>
              <w:u w:val="single"/>
            </w:rPr>
            <w:t>Binding Effect; Assignment</w:t>
          </w:r>
          <w:r>
            <w:rPr/>
            <w:tab/>
          </w:r>
          <w:hyperlink w:anchor="__RefHeading___Toc500080763">
            <w:r>
              <w:rPr>
                <w:rStyle w:val="IndexLink"/>
              </w:rPr>
              <w:t>18</w:t>
            </w:r>
          </w:hyperlink>
        </w:p>
        <w:p>
          <w:pPr>
            <w:pStyle w:val="TOC2"/>
            <w:rPr/>
          </w:pPr>
          <w:r>
            <w:rPr/>
            <w:t>Section 7.8</w:t>
            <w:tab/>
          </w:r>
          <w:r>
            <w:rPr>
              <w:u w:val="single"/>
            </w:rPr>
            <w:t>Entire Agreement</w:t>
          </w:r>
          <w:r>
            <w:rPr/>
            <w:tab/>
          </w:r>
          <w:hyperlink w:anchor="__RefHeading___Toc500080764">
            <w:r>
              <w:rPr>
                <w:rStyle w:val="IndexLink"/>
              </w:rPr>
              <w:t>18</w:t>
            </w:r>
          </w:hyperlink>
        </w:p>
        <w:p>
          <w:pPr>
            <w:pStyle w:val="TOC2"/>
            <w:rPr/>
          </w:pPr>
          <w:r>
            <w:rPr/>
            <w:t>Section 7.9</w:t>
            <w:tab/>
          </w:r>
          <w:r>
            <w:rPr>
              <w:u w:val="single"/>
            </w:rPr>
            <w:t>Due Diligence; Competitive Activities</w:t>
          </w:r>
          <w:r>
            <w:rPr/>
            <w:tab/>
          </w:r>
          <w:hyperlink w:anchor="__RefHeading___Toc500080765">
            <w:r>
              <w:rPr>
                <w:rStyle w:val="IndexLink"/>
              </w:rPr>
              <w:t>18</w:t>
            </w:r>
          </w:hyperlink>
        </w:p>
        <w:p>
          <w:pPr>
            <w:pStyle w:val="TOC2"/>
            <w:rPr/>
          </w:pPr>
          <w:r>
            <w:rPr/>
            <w:t>Section 7.10</w:t>
            <w:tab/>
          </w:r>
          <w:r>
            <w:rPr>
              <w:u w:val="single"/>
            </w:rPr>
            <w:t>Brokers and Agents</w:t>
          </w:r>
          <w:r>
            <w:rPr/>
            <w:tab/>
          </w:r>
          <w:hyperlink w:anchor="__RefHeading___Toc500080766">
            <w:r>
              <w:rPr>
                <w:rStyle w:val="IndexLink"/>
              </w:rPr>
              <w:t>19</w:t>
            </w:r>
          </w:hyperlink>
        </w:p>
        <w:p>
          <w:pPr>
            <w:pStyle w:val="TOC2"/>
            <w:rPr/>
          </w:pPr>
          <w:r>
            <w:rPr/>
            <w:t>Section 7.11</w:t>
            <w:tab/>
          </w:r>
          <w:r>
            <w:rPr>
              <w:u w:val="single"/>
            </w:rPr>
            <w:t>Public Announcements</w:t>
          </w:r>
          <w:r>
            <w:rPr/>
            <w:tab/>
          </w:r>
          <w:hyperlink w:anchor="__RefHeading___Toc500080767">
            <w:r>
              <w:rPr>
                <w:rStyle w:val="IndexLink"/>
              </w:rPr>
              <w:t>19</w:t>
            </w:r>
          </w:hyperlink>
        </w:p>
        <w:p>
          <w:pPr>
            <w:pStyle w:val="TOC2"/>
            <w:rPr/>
          </w:pPr>
          <w:r>
            <w:rPr/>
            <w:t>Section 7.12</w:t>
            <w:tab/>
          </w:r>
          <w:r>
            <w:rPr>
              <w:u w:val="single"/>
            </w:rPr>
            <w:t>Governing Law</w:t>
          </w:r>
          <w:r>
            <w:rPr/>
            <w:tab/>
          </w:r>
          <w:hyperlink w:anchor="__RefHeading___Toc500080768">
            <w:r>
              <w:rPr>
                <w:rStyle w:val="IndexLink"/>
              </w:rPr>
              <w:t>20</w:t>
            </w:r>
          </w:hyperlink>
        </w:p>
        <w:p>
          <w:pPr>
            <w:pStyle w:val="TOC2"/>
            <w:rPr/>
          </w:pPr>
          <w:r>
            <w:rPr/>
            <w:t>Section 7.13</w:t>
            <w:tab/>
          </w:r>
          <w:r>
            <w:rPr>
              <w:u w:val="single"/>
            </w:rPr>
            <w:t>Severability of Provisions</w:t>
          </w:r>
          <w:r>
            <w:rPr/>
            <w:tab/>
          </w:r>
          <w:hyperlink w:anchor="__RefHeading___Toc500080769">
            <w:r>
              <w:rPr>
                <w:rStyle w:val="IndexLink"/>
              </w:rPr>
              <w:t>20</w:t>
            </w:r>
          </w:hyperlink>
          <w:r>
            <w:rPr>
              <w:rStyle w:val="IndexLink"/>
            </w:rPr>
            <w:fldChar w:fldCharType="end"/>
          </w:r>
        </w:p>
      </w:sdtContent>
    </w:sdt>
    <w:p>
      <w:pPr>
        <w:pStyle w:val="Normal"/>
        <w:widowControl/>
        <w:bidi w:val="0"/>
        <w:jc w:val="both"/>
        <w:rPr>
          <w:rFonts w:ascii="Times New Roman" w:hAnsi="Times New Roman" w:eastAsia="Times New Roman" w:cs="Times New Roman"/>
          <w:color w:val="auto"/>
          <w:sz w:val="24"/>
          <w:szCs w:val="20"/>
          <w:lang w:val="en-US"/>
        </w:rPr>
      </w:pPr>
      <w:r>
        <w:rPr>
          <w:rFonts w:eastAsia="Times New Roman" w:cs="Times New Roman"/>
          <w:color w:val="auto"/>
          <w:sz w:val="24"/>
          <w:szCs w:val="20"/>
          <w:lang w:val="en-US"/>
        </w:rPr>
      </w:r>
    </w:p>
    <w:p>
      <w:pPr>
        <w:pStyle w:val="Normal"/>
        <w:rPr/>
      </w:pPr>
      <w:r>
        <w:rPr/>
      </w:r>
    </w:p>
    <w:p>
      <w:pPr>
        <w:pStyle w:val="Normal"/>
        <w:numPr>
          <w:ilvl w:val="0"/>
          <w:numId w:val="0"/>
        </w:numPr>
        <w:outlineLvl w:val="0"/>
        <w:rPr/>
      </w:pPr>
      <w:r>
        <w:rPr/>
        <w:t>Exhibits</w:t>
      </w:r>
    </w:p>
    <w:p>
      <w:pPr>
        <w:pStyle w:val="Normal"/>
        <w:numPr>
          <w:ilvl w:val="0"/>
          <w:numId w:val="0"/>
        </w:numPr>
        <w:ind w:firstLine="720" w:end="0"/>
        <w:outlineLvl w:val="0"/>
        <w:rPr/>
      </w:pPr>
      <w:r>
        <w:rPr/>
        <w:t>Exhibit A  -  Form of Assignment of Interest</w:t>
      </w:r>
    </w:p>
    <w:p>
      <w:pPr>
        <w:pStyle w:val="Heading1"/>
        <w:numPr>
          <w:ilvl w:val="0"/>
          <w:numId w:val="0"/>
        </w:numPr>
        <w:ind w:firstLine="720" w:start="0" w:end="0"/>
        <w:rPr/>
      </w:pPr>
      <w:r>
        <w:rPr/>
        <w:t>Exhibit B  -  Confidentiality Agreement</w:t>
      </w:r>
    </w:p>
    <w:p>
      <w:pPr>
        <w:pStyle w:val="Normal"/>
        <w:numPr>
          <w:ilvl w:val="0"/>
          <w:numId w:val="0"/>
        </w:numPr>
        <w:outlineLvl w:val="0"/>
        <w:rPr/>
      </w:pPr>
      <w:r>
        <w:rPr/>
        <w:t>Schedules</w:t>
      </w:r>
    </w:p>
    <w:p>
      <w:pPr>
        <w:pStyle w:val="Normal"/>
        <w:numPr>
          <w:ilvl w:val="0"/>
          <w:numId w:val="0"/>
        </w:numPr>
        <w:outlineLvl w:val="0"/>
        <w:rPr/>
      </w:pPr>
      <w:r>
        <w:rPr/>
        <w:tab/>
        <w:t>Schedule 3.8  -  Consents</w:t>
      </w:r>
    </w:p>
    <w:p>
      <w:pPr>
        <w:pStyle w:val="Normal"/>
        <w:numPr>
          <w:ilvl w:val="0"/>
          <w:numId w:val="0"/>
        </w:numPr>
        <w:outlineLvl w:val="0"/>
        <w:rPr/>
      </w:pPr>
      <w:r>
        <w:rPr/>
        <w:tab/>
        <w:t>Schedule 3.16  -  Project Documents</w:t>
      </w:r>
    </w:p>
    <w:p>
      <w:pPr>
        <w:pStyle w:val="BodyTextIndent3"/>
        <w:widowControl/>
        <w:tabs>
          <w:tab w:val="clear" w:pos="720"/>
          <w:tab w:val="left" w:pos="1185" w:leader="none"/>
        </w:tabs>
        <w:rPr/>
      </w:pPr>
      <w:r>
        <w:rPr/>
        <w:t xml:space="preserve"> </w:t>
      </w:r>
    </w:p>
    <w:p>
      <w:pPr>
        <w:sectPr>
          <w:headerReference w:type="default" r:id="rId3"/>
          <w:headerReference w:type="first" r:id="rId4"/>
          <w:footerReference w:type="default" r:id="rId5"/>
          <w:type w:val="nextPage"/>
          <w:pgSz w:w="12240" w:h="15840"/>
          <w:pgMar w:left="1440" w:right="1440" w:gutter="0" w:header="2160" w:top="2216" w:footer="720" w:bottom="776"/>
          <w:pgNumType w:start="1" w:fmt="lowerRoman"/>
          <w:formProt w:val="false"/>
          <w:textDirection w:val="lrTb"/>
          <w:docGrid w:type="default" w:linePitch="360" w:charSpace="0"/>
        </w:sectPr>
        <w:pStyle w:val="Normal"/>
        <w:rPr/>
      </w:pPr>
      <w:r>
        <w:rPr/>
      </w:r>
    </w:p>
    <w:p>
      <w:pPr>
        <w:pStyle w:val="Normal"/>
        <w:numPr>
          <w:ilvl w:val="0"/>
          <w:numId w:val="0"/>
        </w:numPr>
        <w:jc w:val="center"/>
        <w:outlineLvl w:val="0"/>
        <w:rPr/>
      </w:pPr>
      <w:r>
        <w:rPr/>
        <w:t>SECURITIES PURCHASE AGREEMENT</w:t>
      </w:r>
    </w:p>
    <w:p>
      <w:pPr>
        <w:pStyle w:val="Header"/>
        <w:tabs>
          <w:tab w:val="clear" w:pos="4320"/>
          <w:tab w:val="clear" w:pos="8640"/>
        </w:tabs>
        <w:rPr/>
      </w:pPr>
      <w:r>
        <w:rPr/>
      </w:r>
    </w:p>
    <w:p>
      <w:pPr>
        <w:pStyle w:val="Normal"/>
        <w:rPr/>
      </w:pPr>
      <w:r>
        <w:rPr/>
      </w:r>
    </w:p>
    <w:p>
      <w:pPr>
        <w:pStyle w:val="BodyText"/>
        <w:ind w:firstLine="720" w:end="0"/>
        <w:rPr/>
      </w:pPr>
      <w:r>
        <w:rPr/>
        <w:t>This SECURITIES PURCHASE AGREEMENT (the "Purchase Agreement") dated as of _______________ ___, 200__ (the "Effective Date") is by and between ENRON NORTH AMERICA CORP., a Delaware corporation (the "Seller"), and COASTAL POWER COMPANY, a __________ corporation (the "Purchaser").</w:t>
      </w:r>
    </w:p>
    <w:p>
      <w:pPr>
        <w:pStyle w:val="Normal"/>
        <w:rPr/>
      </w:pPr>
      <w:r>
        <w:rPr/>
      </w:r>
    </w:p>
    <w:p>
      <w:pPr>
        <w:pStyle w:val="Normal"/>
        <w:ind w:firstLine="720" w:end="0"/>
        <w:jc w:val="center"/>
        <w:rPr/>
      </w:pPr>
      <w:r>
        <w:rPr/>
        <w:t>RECITALS</w:t>
      </w:r>
    </w:p>
    <w:p>
      <w:pPr>
        <w:pStyle w:val="BodyTextIndent3"/>
        <w:widowControl/>
        <w:tabs>
          <w:tab w:val="clear" w:pos="720"/>
          <w:tab w:val="left" w:pos="1185" w:leader="none"/>
        </w:tabs>
        <w:ind w:start="0" w:end="0"/>
        <w:rPr/>
      </w:pPr>
      <w:r>
        <w:rPr/>
      </w:r>
    </w:p>
    <w:p>
      <w:pPr>
        <w:pStyle w:val="BodyTextIndent3"/>
        <w:widowControl/>
        <w:numPr>
          <w:ilvl w:val="0"/>
          <w:numId w:val="2"/>
        </w:numPr>
        <w:tabs>
          <w:tab w:val="clear" w:pos="720"/>
          <w:tab w:val="left" w:pos="465" w:leader="none"/>
        </w:tabs>
        <w:ind w:hanging="465" w:start="465" w:end="0"/>
        <w:rPr/>
      </w:pPr>
      <w:r>
        <w:rPr/>
        <w:t>Seller has organized Kendall New Century Development Company, L.L.C., a Delaware limited liability company ("Kendall" or the "Company"), for the purpose of developing, constructing, owning, and operating an electric power generation facility in Kendall County, Illinois.</w:t>
      </w:r>
    </w:p>
    <w:p>
      <w:pPr>
        <w:pStyle w:val="BodyTextIndent3"/>
        <w:widowControl/>
        <w:ind w:start="0" w:end="0"/>
        <w:rPr/>
      </w:pPr>
      <w:r>
        <w:rPr/>
      </w:r>
    </w:p>
    <w:p>
      <w:pPr>
        <w:pStyle w:val="BodyTextIndent3"/>
        <w:widowControl/>
        <w:numPr>
          <w:ilvl w:val="0"/>
          <w:numId w:val="2"/>
        </w:numPr>
        <w:tabs>
          <w:tab w:val="clear" w:pos="720"/>
          <w:tab w:val="left" w:pos="465" w:leader="none"/>
        </w:tabs>
        <w:ind w:hanging="465" w:start="465" w:end="0"/>
        <w:rPr/>
      </w:pPr>
      <w:r>
        <w:rPr/>
        <w:t>Seller is the sole member of the Company.</w:t>
      </w:r>
    </w:p>
    <w:p>
      <w:pPr>
        <w:pStyle w:val="BodyTextIndent3"/>
        <w:widowControl/>
        <w:ind w:start="0" w:end="0"/>
        <w:rPr/>
      </w:pPr>
      <w:r>
        <w:rPr/>
      </w:r>
    </w:p>
    <w:p>
      <w:pPr>
        <w:pStyle w:val="BodyTextIndent3"/>
        <w:widowControl/>
        <w:numPr>
          <w:ilvl w:val="0"/>
          <w:numId w:val="2"/>
        </w:numPr>
        <w:tabs>
          <w:tab w:val="clear" w:pos="720"/>
          <w:tab w:val="left" w:pos="465" w:leader="none"/>
        </w:tabs>
        <w:ind w:hanging="465" w:start="465" w:end="0"/>
        <w:rPr/>
      </w:pPr>
      <w:r>
        <w:rPr/>
        <w:t>Purchaser desires to purchase, and Seller desires to sell, one hundred percent (100%) of the member interests in the Company.</w:t>
      </w:r>
    </w:p>
    <w:p>
      <w:pPr>
        <w:pStyle w:val="Header"/>
        <w:tabs>
          <w:tab w:val="clear" w:pos="4320"/>
          <w:tab w:val="clear" w:pos="8640"/>
        </w:tabs>
        <w:rPr/>
      </w:pPr>
      <w:r>
        <w:rPr/>
      </w:r>
    </w:p>
    <w:p>
      <w:pPr>
        <w:pStyle w:val="BodyText"/>
        <w:ind w:firstLine="465" w:end="0"/>
        <w:rPr/>
      </w:pPr>
      <w:r>
        <w:rPr/>
        <w:t>NOW, THEREFORE, in consideration of the foregoing and the mutual covenants expressed herein, together with other good and valuable consideration, the receipt and sufficiency of which are hereby acknowledged, the parties hereby agree as follows:</w:t>
      </w:r>
    </w:p>
    <w:p>
      <w:pPr>
        <w:pStyle w:val="Section"/>
        <w:rPr/>
      </w:pPr>
      <w:r>
        <w:rPr/>
      </w:r>
    </w:p>
    <w:p>
      <w:pPr>
        <w:pStyle w:val="ARTICLE"/>
        <w:numPr>
          <w:ilvl w:val="0"/>
          <w:numId w:val="5"/>
        </w:numPr>
        <w:ind w:hanging="0" w:start="0"/>
        <w:rPr/>
      </w:pPr>
      <w:r>
        <w:rPr/>
        <w:br/>
        <w:t>DEFINITIONS</w:t>
      </w:r>
      <w:r>
        <w:fldChar w:fldCharType="begin"/>
      </w:r>
      <w:r>
        <w:rPr/>
        <w:instrText xml:space="preserve"> TC "ARTICLE I</w:instrText>
        <w:tab/>
        <w:instrText xml:space="preserve">DEFINITIONS " \l 1 </w:instrText>
      </w:r>
      <w:r>
        <w:rPr/>
        <w:fldChar w:fldCharType="separate"/>
      </w:r>
      <w:r>
        <w:rPr/>
      </w:r>
      <w:r>
        <w:rPr/>
        <w:fldChar w:fldCharType="end"/>
      </w:r>
      <w:bookmarkStart w:id="0" w:name="__RefHeading___Toc500080710"/>
      <w:bookmarkEnd w:id="0"/>
    </w:p>
    <w:p>
      <w:pPr>
        <w:pStyle w:val="Heading1"/>
        <w:numPr>
          <w:ilvl w:val="1"/>
          <w:numId w:val="5"/>
        </w:numPr>
        <w:tabs>
          <w:tab w:val="clear" w:pos="720"/>
        </w:tabs>
        <w:ind w:hanging="0" w:start="0"/>
        <w:rPr/>
      </w:pPr>
      <w:r>
        <w:rPr>
          <w:u w:val="single"/>
        </w:rPr>
        <w:t>Definitions</w:t>
      </w:r>
      <w:r>
        <w:fldChar w:fldCharType="begin"/>
      </w:r>
      <w:r>
        <w:rPr/>
        <w:instrText xml:space="preserve"> TC "Section 1.1</w:instrText>
        <w:tab/>
        <w:instrText xml:space="preserve">Definitions" \l 2 </w:instrText>
      </w:r>
      <w:r>
        <w:rPr/>
        <w:fldChar w:fldCharType="separate"/>
      </w:r>
      <w:r>
        <w:rPr/>
      </w:r>
      <w:r>
        <w:rPr/>
        <w:fldChar w:fldCharType="end"/>
      </w:r>
      <w:bookmarkStart w:id="1" w:name="__RefHeading___Toc500080711"/>
      <w:bookmarkEnd w:id="1"/>
      <w:r>
        <w:rPr/>
        <w:t>.  Capitalized terms used and defined in the text shall have the meanings ascribed therein, and capitalized terms used in the text but not defined therein shall have the following meanings for all purposes hereof:</w:t>
      </w:r>
    </w:p>
    <w:p>
      <w:pPr>
        <w:pStyle w:val="List"/>
        <w:numPr>
          <w:ilvl w:val="2"/>
          <w:numId w:val="5"/>
        </w:numPr>
        <w:tabs>
          <w:tab w:val="clear" w:pos="720"/>
        </w:tabs>
        <w:ind w:hanging="0" w:start="0"/>
        <w:rPr/>
      </w:pPr>
      <w:r>
        <w:rPr/>
        <w:t>"</w:t>
      </w:r>
      <w:r>
        <w:rPr>
          <w:i/>
        </w:rPr>
        <w:t>Action</w:t>
      </w:r>
      <w:r>
        <w:rPr/>
        <w:t>" against a Person means any lawsuit, action, proceeding, investigation or complaint before any Governmental Authority, mediator or arbitrator.</w:t>
      </w:r>
    </w:p>
    <w:p>
      <w:pPr>
        <w:pStyle w:val="List"/>
        <w:numPr>
          <w:ilvl w:val="2"/>
          <w:numId w:val="5"/>
        </w:numPr>
        <w:tabs>
          <w:tab w:val="clear" w:pos="720"/>
        </w:tabs>
        <w:ind w:hanging="0" w:start="0"/>
        <w:rPr/>
      </w:pPr>
      <w:r>
        <w:rPr/>
        <w:t>"</w:t>
      </w:r>
      <w:r>
        <w:rPr>
          <w:i/>
        </w:rPr>
        <w:t>Affiliate</w:t>
      </w:r>
      <w:r>
        <w:rPr/>
        <w:t>" of any specified Person means any other Person directly or indirectly controlling or controlled by or under direct or indirect common control with such specified Person.  For purposes of this definition, “control”, when used with respect to any Person, means the power to direct the management and policies of such Person, directly or indirectly, whether through ownership of voting interests, securities, shares or member interests, by contract or otherwise, and includes the grammatical variants “controlled” and “controlling”.</w:t>
      </w:r>
    </w:p>
    <w:p>
      <w:pPr>
        <w:pStyle w:val="List"/>
        <w:numPr>
          <w:ilvl w:val="2"/>
          <w:numId w:val="5"/>
        </w:numPr>
        <w:tabs>
          <w:tab w:val="clear" w:pos="720"/>
        </w:tabs>
        <w:ind w:hanging="0" w:start="0"/>
        <w:rPr/>
      </w:pPr>
      <w:r>
        <w:rPr/>
        <w:t>"</w:t>
      </w:r>
      <w:r>
        <w:rPr>
          <w:i/>
        </w:rPr>
        <w:t>Applicable Laws</w:t>
      </w:r>
      <w:r>
        <w:rPr/>
        <w:t>" means any federal, state or local laws (including common law and criminal law), codes, standards, statutes, directives, ordinances, by-laws, regulations, rules, judgments, consents, orders and agreements with Governmental Authorities, proclamations, or delegated or subordinated legislation of a Governmental Authority, applicable to this Purchase Agreement, or otherwise applicable to the parties hereto, the Company or the Project.</w:t>
      </w:r>
    </w:p>
    <w:p>
      <w:pPr>
        <w:pStyle w:val="List"/>
        <w:numPr>
          <w:ilvl w:val="2"/>
          <w:numId w:val="5"/>
        </w:numPr>
        <w:tabs>
          <w:tab w:val="clear" w:pos="720"/>
        </w:tabs>
        <w:ind w:hanging="0" w:start="0"/>
        <w:rPr/>
      </w:pPr>
      <w:r>
        <w:rPr/>
        <w:t>"</w:t>
      </w:r>
      <w:r>
        <w:rPr>
          <w:i/>
        </w:rPr>
        <w:t>Business Day</w:t>
      </w:r>
      <w:r>
        <w:rPr/>
        <w:t>" means any day not a Saturday or Sunday, or any other day on which banking institutions in New York, New York are not obligated by law, regulation or executive order to be closed for business.</w:t>
      </w:r>
    </w:p>
    <w:p>
      <w:pPr>
        <w:pStyle w:val="List"/>
        <w:numPr>
          <w:ilvl w:val="2"/>
          <w:numId w:val="5"/>
        </w:numPr>
        <w:tabs>
          <w:tab w:val="clear" w:pos="720"/>
        </w:tabs>
        <w:ind w:hanging="0" w:start="0"/>
        <w:rPr>
          <w:b/>
        </w:rPr>
      </w:pPr>
      <w:r>
        <w:rPr/>
        <w:t>"</w:t>
      </w:r>
      <w:r>
        <w:rPr>
          <w:i/>
        </w:rPr>
        <w:t>CERCLA</w:t>
      </w:r>
      <w:r>
        <w:rPr/>
        <w:t xml:space="preserve">" means the United States Comprehensive Environmental Response, Compensation and Liability Act, 42 U.S.C., Section 9601 </w:t>
      </w:r>
      <w:r>
        <w:rPr>
          <w:i/>
        </w:rPr>
        <w:t>et seq.</w:t>
      </w:r>
    </w:p>
    <w:p>
      <w:pPr>
        <w:pStyle w:val="List"/>
        <w:numPr>
          <w:ilvl w:val="2"/>
          <w:numId w:val="5"/>
        </w:numPr>
        <w:tabs>
          <w:tab w:val="clear" w:pos="720"/>
        </w:tabs>
        <w:ind w:hanging="0" w:start="0"/>
        <w:rPr/>
      </w:pPr>
      <w:r>
        <w:rPr/>
        <w:t>"</w:t>
      </w:r>
      <w:r>
        <w:rPr>
          <w:i/>
        </w:rPr>
        <w:t>Closing</w:t>
      </w:r>
      <w:r>
        <w:rPr/>
        <w:t>" has the meaning set forth in Section 2.3 of this Purchase Agreement.</w:t>
      </w:r>
    </w:p>
    <w:p>
      <w:pPr>
        <w:pStyle w:val="List"/>
        <w:numPr>
          <w:ilvl w:val="2"/>
          <w:numId w:val="5"/>
        </w:numPr>
        <w:tabs>
          <w:tab w:val="clear" w:pos="720"/>
        </w:tabs>
        <w:ind w:hanging="0" w:start="0"/>
        <w:rPr/>
      </w:pPr>
      <w:r>
        <w:rPr/>
        <w:t>"</w:t>
      </w:r>
      <w:r>
        <w:rPr>
          <w:i/>
        </w:rPr>
        <w:t>Closing Date</w:t>
      </w:r>
      <w:r>
        <w:rPr/>
        <w:t>" has the meaning set forth in Section 2.3 of this Purchase Agreement.</w:t>
      </w:r>
    </w:p>
    <w:p>
      <w:pPr>
        <w:pStyle w:val="List"/>
        <w:numPr>
          <w:ilvl w:val="2"/>
          <w:numId w:val="5"/>
        </w:numPr>
        <w:tabs>
          <w:tab w:val="clear" w:pos="720"/>
        </w:tabs>
        <w:ind w:hanging="0" w:start="0"/>
        <w:rPr/>
      </w:pPr>
      <w:r>
        <w:rPr/>
        <w:t>"</w:t>
      </w:r>
      <w:r>
        <w:rPr>
          <w:i/>
        </w:rPr>
        <w:t>Company</w:t>
      </w:r>
      <w:r>
        <w:rPr/>
        <w:t>" has the meaning set forth in the Recitals of this Purchase Agreement.</w:t>
      </w:r>
    </w:p>
    <w:p>
      <w:pPr>
        <w:pStyle w:val="List"/>
        <w:numPr>
          <w:ilvl w:val="2"/>
          <w:numId w:val="5"/>
        </w:numPr>
        <w:tabs>
          <w:tab w:val="clear" w:pos="720"/>
        </w:tabs>
        <w:ind w:hanging="0" w:start="0"/>
        <w:rPr/>
      </w:pPr>
      <w:r>
        <w:rPr/>
        <w:t>"</w:t>
      </w:r>
      <w:r>
        <w:rPr>
          <w:i/>
        </w:rPr>
        <w:t>Effective Date</w:t>
      </w:r>
      <w:r>
        <w:rPr/>
        <w:t>" has the meaning set forth in the Preamble of this Purchase Agreement.</w:t>
      </w:r>
    </w:p>
    <w:p>
      <w:pPr>
        <w:pStyle w:val="List"/>
        <w:numPr>
          <w:ilvl w:val="2"/>
          <w:numId w:val="5"/>
        </w:numPr>
        <w:tabs>
          <w:tab w:val="clear" w:pos="720"/>
        </w:tabs>
        <w:ind w:hanging="0" w:start="0"/>
        <w:rPr/>
      </w:pPr>
      <w:r>
        <w:rPr/>
        <w:t>"</w:t>
      </w:r>
      <w:r>
        <w:rPr>
          <w:i/>
        </w:rPr>
        <w:t>Environmental Claim</w:t>
      </w:r>
      <w:r>
        <w:rPr/>
        <w:t>" means any claim, action, demand, order, investigation, proceeding or written notice, pending, threatened or otherwise, by or on behalf of any Person or Governmental Authority alleging liability based on or resulting from violation or non-compliance with any Environmental Law.</w:t>
      </w:r>
    </w:p>
    <w:p>
      <w:pPr>
        <w:pStyle w:val="List"/>
        <w:numPr>
          <w:ilvl w:val="2"/>
          <w:numId w:val="5"/>
        </w:numPr>
        <w:tabs>
          <w:tab w:val="clear" w:pos="720"/>
        </w:tabs>
        <w:ind w:hanging="0" w:start="0"/>
        <w:rPr/>
      </w:pPr>
      <w:r>
        <w:rPr/>
        <w:t>"</w:t>
      </w:r>
      <w:r>
        <w:rPr>
          <w:i/>
        </w:rPr>
        <w:t>Environmental Law</w:t>
      </w:r>
      <w:r>
        <w:rPr/>
        <w:t>" means all state, federal and local laws or regulations, including CERCLA, pertaining to the protection of the environment, including but not limited to those relating to release or threatened release of Hazardous Materials, or otherwise relating to the generation, production, treatment, storage, transportation or handling of Hazardous Materials.</w:t>
      </w:r>
    </w:p>
    <w:p>
      <w:pPr>
        <w:pStyle w:val="List"/>
        <w:numPr>
          <w:ilvl w:val="2"/>
          <w:numId w:val="5"/>
        </w:numPr>
        <w:tabs>
          <w:tab w:val="clear" w:pos="720"/>
        </w:tabs>
        <w:ind w:hanging="0" w:start="0"/>
        <w:rPr/>
      </w:pPr>
      <w:r>
        <w:rPr/>
        <w:t>"</w:t>
      </w:r>
      <w:r>
        <w:rPr>
          <w:i/>
        </w:rPr>
        <w:t>Expiration Date</w:t>
      </w:r>
      <w:r>
        <w:rPr/>
        <w:t>" has the meaning set forth in Section 2.1 of this Purchase Agreement.</w:t>
      </w:r>
    </w:p>
    <w:p>
      <w:pPr>
        <w:pStyle w:val="List"/>
        <w:numPr>
          <w:ilvl w:val="2"/>
          <w:numId w:val="5"/>
        </w:numPr>
        <w:tabs>
          <w:tab w:val="clear" w:pos="720"/>
        </w:tabs>
        <w:ind w:hanging="0" w:start="0"/>
        <w:rPr/>
      </w:pPr>
      <w:r>
        <w:rPr/>
        <w:t>"</w:t>
      </w:r>
      <w:r>
        <w:rPr>
          <w:i/>
        </w:rPr>
        <w:t>FPA</w:t>
      </w:r>
      <w:r>
        <w:rPr/>
        <w:t>" means the Federal Power Act, as amended, and all rules and regulations promulgated thereunder.</w:t>
      </w:r>
    </w:p>
    <w:p>
      <w:pPr>
        <w:pStyle w:val="List"/>
        <w:numPr>
          <w:ilvl w:val="2"/>
          <w:numId w:val="5"/>
        </w:numPr>
        <w:tabs>
          <w:tab w:val="clear" w:pos="720"/>
        </w:tabs>
        <w:ind w:hanging="0" w:start="0"/>
        <w:rPr/>
      </w:pPr>
      <w:r>
        <w:rPr/>
        <w:t>"</w:t>
      </w:r>
      <w:r>
        <w:rPr>
          <w:i/>
        </w:rPr>
        <w:t>Governmental Authority</w:t>
      </w:r>
      <w:r>
        <w:rPr/>
        <w:t>" means any state, federal, native American, province, county, city, municipal or other political subdivision or government, department, commission, board, bureau, court, agency, or any other instrumentality of any of them.</w:t>
      </w:r>
    </w:p>
    <w:p>
      <w:pPr>
        <w:pStyle w:val="List"/>
        <w:numPr>
          <w:ilvl w:val="2"/>
          <w:numId w:val="5"/>
        </w:numPr>
        <w:tabs>
          <w:tab w:val="clear" w:pos="720"/>
        </w:tabs>
        <w:ind w:hanging="0" w:start="0"/>
        <w:rPr>
          <w:b/>
        </w:rPr>
      </w:pPr>
      <w:r>
        <w:rPr/>
        <w:t>"</w:t>
      </w:r>
      <w:r>
        <w:rPr>
          <w:i/>
        </w:rPr>
        <w:t>Hazardous Materials</w:t>
      </w:r>
      <w:r>
        <w:rPr/>
        <w:t>" means all substances so defined as hazardous under any Environmental Laws.</w:t>
      </w:r>
    </w:p>
    <w:p>
      <w:pPr>
        <w:pStyle w:val="List"/>
        <w:numPr>
          <w:ilvl w:val="2"/>
          <w:numId w:val="5"/>
        </w:numPr>
        <w:tabs>
          <w:tab w:val="clear" w:pos="720"/>
        </w:tabs>
        <w:ind w:hanging="0" w:start="0"/>
        <w:rPr/>
      </w:pPr>
      <w:r>
        <w:rPr/>
        <w:t>"</w:t>
      </w:r>
      <w:r>
        <w:rPr>
          <w:i/>
        </w:rPr>
        <w:t>Interests</w:t>
      </w:r>
      <w:r>
        <w:rPr/>
        <w:t>" has the meaning set forth in Section 2.1 of this Purchase Agreement.</w:t>
      </w:r>
    </w:p>
    <w:p>
      <w:pPr>
        <w:pStyle w:val="List"/>
        <w:numPr>
          <w:ilvl w:val="2"/>
          <w:numId w:val="5"/>
        </w:numPr>
        <w:tabs>
          <w:tab w:val="clear" w:pos="720"/>
        </w:tabs>
        <w:ind w:hanging="0" w:start="0"/>
        <w:rPr/>
      </w:pPr>
      <w:r>
        <w:rPr/>
        <w:t>"</w:t>
      </w:r>
      <w:r>
        <w:rPr>
          <w:i/>
        </w:rPr>
        <w:t>Kendall Project Documents</w:t>
      </w:r>
      <w:r>
        <w:rPr/>
        <w:t>" means all of the documents related to the Project in the name of Kendall contained in the binder titled Kendall Project Documents dated December __, 2000, delivered to Purchaser prior to the execution hereof.</w:t>
      </w:r>
    </w:p>
    <w:p>
      <w:pPr>
        <w:pStyle w:val="List"/>
        <w:numPr>
          <w:ilvl w:val="2"/>
          <w:numId w:val="5"/>
        </w:numPr>
        <w:tabs>
          <w:tab w:val="clear" w:pos="720"/>
        </w:tabs>
        <w:ind w:hanging="0" w:start="0"/>
        <w:rPr/>
      </w:pPr>
      <w:r>
        <w:rPr/>
        <w:t>"</w:t>
      </w:r>
      <w:r>
        <w:rPr>
          <w:i/>
        </w:rPr>
        <w:t>Kendall Site</w:t>
      </w:r>
      <w:r>
        <w:rPr/>
        <w:t>" means the approximately 70 acres of real property located in Kendall County, Illinois, more particularly described in the Land Option Agreement.</w:t>
      </w:r>
    </w:p>
    <w:p>
      <w:pPr>
        <w:pStyle w:val="List"/>
        <w:numPr>
          <w:ilvl w:val="2"/>
          <w:numId w:val="5"/>
        </w:numPr>
        <w:tabs>
          <w:tab w:val="clear" w:pos="720"/>
        </w:tabs>
        <w:ind w:hanging="0" w:start="0"/>
        <w:rPr/>
      </w:pPr>
      <w:r>
        <w:rPr/>
        <w:t>"</w:t>
      </w:r>
      <w:r>
        <w:rPr>
          <w:i/>
        </w:rPr>
        <w:t>Land Option Agreement</w:t>
      </w:r>
      <w:r>
        <w:rPr/>
        <w:t xml:space="preserve">" means that certain Option to Purchase Real Estate by and between Robert Konicek, as seller, and the Seller, as buyer, dated as of December ___, 1998, and amended as of March 22, 2000. </w:t>
      </w:r>
    </w:p>
    <w:p>
      <w:pPr>
        <w:pStyle w:val="List"/>
        <w:numPr>
          <w:ilvl w:val="2"/>
          <w:numId w:val="5"/>
        </w:numPr>
        <w:tabs>
          <w:tab w:val="clear" w:pos="720"/>
        </w:tabs>
        <w:ind w:hanging="0" w:start="0"/>
        <w:rPr/>
      </w:pPr>
      <w:r>
        <w:rPr/>
        <w:t>"</w:t>
      </w:r>
      <w:r>
        <w:rPr>
          <w:i/>
        </w:rPr>
        <w:t>Liens</w:t>
      </w:r>
      <w:r>
        <w:rPr/>
        <w:t>" has the meaning set forth in Section 3.3 of this Purchase Agreement.</w:t>
      </w:r>
    </w:p>
    <w:p>
      <w:pPr>
        <w:pStyle w:val="List"/>
        <w:numPr>
          <w:ilvl w:val="2"/>
          <w:numId w:val="5"/>
        </w:numPr>
        <w:tabs>
          <w:tab w:val="clear" w:pos="720"/>
        </w:tabs>
        <w:ind w:hanging="0" w:start="0"/>
        <w:rPr>
          <w:b/>
        </w:rPr>
      </w:pPr>
      <w:r>
        <w:rPr/>
        <w:t>"</w:t>
      </w:r>
      <w:r>
        <w:rPr>
          <w:i/>
        </w:rPr>
        <w:t>Notice of Exercise</w:t>
      </w:r>
      <w:r>
        <w:rPr/>
        <w:t>" has the meaning set forth in Section 2.1 of this Purchase Agreement.</w:t>
      </w:r>
    </w:p>
    <w:p>
      <w:pPr>
        <w:pStyle w:val="List"/>
        <w:numPr>
          <w:ilvl w:val="2"/>
          <w:numId w:val="5"/>
        </w:numPr>
        <w:tabs>
          <w:tab w:val="clear" w:pos="720"/>
        </w:tabs>
        <w:ind w:hanging="0" w:start="0"/>
        <w:rPr/>
      </w:pPr>
      <w:r>
        <w:rPr/>
        <w:t>"</w:t>
      </w:r>
      <w:r>
        <w:rPr>
          <w:i/>
        </w:rPr>
        <w:t>Option</w:t>
      </w:r>
      <w:r>
        <w:rPr/>
        <w:t xml:space="preserve">" has the meaning set forth in Section 2.1 of this Purchase Agreement. </w:t>
      </w:r>
    </w:p>
    <w:p>
      <w:pPr>
        <w:pStyle w:val="List"/>
        <w:numPr>
          <w:ilvl w:val="2"/>
          <w:numId w:val="5"/>
        </w:numPr>
        <w:tabs>
          <w:tab w:val="clear" w:pos="720"/>
        </w:tabs>
        <w:ind w:hanging="0" w:start="0"/>
        <w:rPr>
          <w:b/>
        </w:rPr>
      </w:pPr>
      <w:r>
        <w:rPr/>
        <w:t>"</w:t>
      </w:r>
      <w:r>
        <w:rPr>
          <w:i/>
        </w:rPr>
        <w:t>Option Consideration</w:t>
      </w:r>
      <w:r>
        <w:rPr/>
        <w:t>" has the meaning set forth in Section 2.1 of this Purchase Agreement.</w:t>
      </w:r>
    </w:p>
    <w:p>
      <w:pPr>
        <w:pStyle w:val="List"/>
        <w:numPr>
          <w:ilvl w:val="2"/>
          <w:numId w:val="5"/>
        </w:numPr>
        <w:tabs>
          <w:tab w:val="clear" w:pos="720"/>
        </w:tabs>
        <w:ind w:hanging="0" w:start="0"/>
        <w:rPr/>
      </w:pPr>
      <w:r>
        <w:rPr/>
        <w:t>"</w:t>
      </w:r>
      <w:r>
        <w:rPr>
          <w:i/>
        </w:rPr>
        <w:t>Option Premium</w:t>
      </w:r>
      <w:r>
        <w:rPr/>
        <w:t>" has the meaning set forth in Section 2.2 of this Purchase Agreement.</w:t>
      </w:r>
    </w:p>
    <w:p>
      <w:pPr>
        <w:pStyle w:val="List"/>
        <w:numPr>
          <w:ilvl w:val="2"/>
          <w:numId w:val="5"/>
        </w:numPr>
        <w:tabs>
          <w:tab w:val="clear" w:pos="720"/>
        </w:tabs>
        <w:ind w:hanging="0" w:start="0"/>
        <w:rPr/>
      </w:pPr>
      <w:r>
        <w:rPr/>
        <w:t>"</w:t>
      </w:r>
      <w:r>
        <w:rPr>
          <w:i/>
        </w:rPr>
        <w:t>Person</w:t>
      </w:r>
      <w:r>
        <w:rPr/>
        <w:t>" means any individual, corporation, partnership, association, Governmental Authority or other entity having juridical identity.</w:t>
      </w:r>
    </w:p>
    <w:p>
      <w:pPr>
        <w:pStyle w:val="List"/>
        <w:numPr>
          <w:ilvl w:val="2"/>
          <w:numId w:val="5"/>
        </w:numPr>
        <w:tabs>
          <w:tab w:val="clear" w:pos="720"/>
        </w:tabs>
        <w:ind w:hanging="0" w:start="0"/>
        <w:rPr/>
      </w:pPr>
      <w:r>
        <w:rPr/>
        <w:t>"</w:t>
      </w:r>
      <w:r>
        <w:rPr>
          <w:i/>
        </w:rPr>
        <w:t>Plan</w:t>
      </w:r>
      <w:r>
        <w:rPr/>
        <w:t>" means any “employee benefit plan” within the meaning of the Employee Retirement Income Security Act of 1974, as amended.</w:t>
      </w:r>
    </w:p>
    <w:p>
      <w:pPr>
        <w:pStyle w:val="List"/>
        <w:numPr>
          <w:ilvl w:val="2"/>
          <w:numId w:val="5"/>
        </w:numPr>
        <w:tabs>
          <w:tab w:val="clear" w:pos="720"/>
        </w:tabs>
        <w:ind w:hanging="0" w:start="0"/>
        <w:rPr/>
      </w:pPr>
      <w:r>
        <w:rPr>
          <w:i/>
        </w:rPr>
        <w:t>“</w:t>
      </w:r>
      <w:r>
        <w:rPr>
          <w:i/>
        </w:rPr>
        <w:t>Project</w:t>
      </w:r>
      <w:r>
        <w:rPr/>
        <w:t>"</w:t>
      </w:r>
      <w:r>
        <w:rPr>
          <w:i/>
        </w:rPr>
        <w:t xml:space="preserve"> </w:t>
      </w:r>
      <w:r>
        <w:rPr/>
        <w:t>means the planned 200-300 MW natural gas-fired power generating facility at the Kendall Site with a nominal capacity equal to the output of ten (10) or less combustion turbine generators or any other natural gas-fired power generating facility planned or constructed at the Kendall Site.</w:t>
      </w:r>
    </w:p>
    <w:p>
      <w:pPr>
        <w:pStyle w:val="List"/>
        <w:numPr>
          <w:ilvl w:val="2"/>
          <w:numId w:val="5"/>
        </w:numPr>
        <w:tabs>
          <w:tab w:val="clear" w:pos="720"/>
        </w:tabs>
        <w:ind w:hanging="0" w:start="0"/>
        <w:rPr/>
      </w:pPr>
      <w:r>
        <w:rPr/>
        <w:t>"</w:t>
      </w:r>
      <w:r>
        <w:rPr>
          <w:i/>
        </w:rPr>
        <w:t>PUHCA</w:t>
      </w:r>
      <w:r>
        <w:rPr/>
        <w:t>" means the Public Utility Holding Company Act of 1935, as amended, and all rules and regulations promulgated thereunder.</w:t>
      </w:r>
    </w:p>
    <w:p>
      <w:pPr>
        <w:pStyle w:val="List"/>
        <w:numPr>
          <w:ilvl w:val="2"/>
          <w:numId w:val="5"/>
        </w:numPr>
        <w:tabs>
          <w:tab w:val="clear" w:pos="720"/>
        </w:tabs>
        <w:ind w:hanging="0" w:start="0"/>
        <w:rPr>
          <w:b/>
        </w:rPr>
      </w:pPr>
      <w:r>
        <w:rPr/>
        <w:t>"</w:t>
      </w:r>
      <w:r>
        <w:rPr>
          <w:i/>
        </w:rPr>
        <w:t>Purchase Agreement</w:t>
      </w:r>
      <w:r>
        <w:rPr/>
        <w:t>" has the meaning set forth in the Preamble of this Purchase Agreement.</w:t>
      </w:r>
    </w:p>
    <w:p>
      <w:pPr>
        <w:pStyle w:val="List"/>
        <w:numPr>
          <w:ilvl w:val="2"/>
          <w:numId w:val="5"/>
        </w:numPr>
        <w:tabs>
          <w:tab w:val="clear" w:pos="720"/>
        </w:tabs>
        <w:ind w:hanging="0" w:start="0"/>
        <w:rPr/>
      </w:pPr>
      <w:r>
        <w:rPr/>
        <w:t>"</w:t>
      </w:r>
      <w:r>
        <w:rPr>
          <w:i/>
        </w:rPr>
        <w:t>Purchase Price</w:t>
      </w:r>
      <w:r>
        <w:rPr/>
        <w:t>" has the meaning set forth in Section 2.1 of this Purchase Agreement.</w:t>
      </w:r>
    </w:p>
    <w:p>
      <w:pPr>
        <w:pStyle w:val="List"/>
        <w:numPr>
          <w:ilvl w:val="2"/>
          <w:numId w:val="5"/>
        </w:numPr>
        <w:tabs>
          <w:tab w:val="clear" w:pos="720"/>
        </w:tabs>
        <w:ind w:hanging="0" w:start="0"/>
        <w:rPr/>
      </w:pPr>
      <w:r>
        <w:rPr/>
        <w:t>"</w:t>
      </w:r>
      <w:r>
        <w:rPr>
          <w:i/>
        </w:rPr>
        <w:t>Purchaser</w:t>
      </w:r>
      <w:r>
        <w:rPr/>
        <w:t>" has the meaning set forth in the Preamble of this Purchase Agreement.</w:t>
      </w:r>
    </w:p>
    <w:p>
      <w:pPr>
        <w:pStyle w:val="List"/>
        <w:numPr>
          <w:ilvl w:val="2"/>
          <w:numId w:val="5"/>
        </w:numPr>
        <w:tabs>
          <w:tab w:val="clear" w:pos="720"/>
        </w:tabs>
        <w:ind w:hanging="0" w:start="0"/>
        <w:rPr/>
      </w:pPr>
      <w:r>
        <w:rPr/>
        <w:t>"</w:t>
      </w:r>
      <w:r>
        <w:rPr>
          <w:i/>
        </w:rPr>
        <w:t>PURPA</w:t>
      </w:r>
      <w:r>
        <w:rPr/>
        <w:t>" means the Public Utility Regulatory Policies Act of 1978, as amended, and all rules and regulations promulgated thereunder.</w:t>
      </w:r>
    </w:p>
    <w:p>
      <w:pPr>
        <w:pStyle w:val="List"/>
        <w:numPr>
          <w:ilvl w:val="2"/>
          <w:numId w:val="5"/>
        </w:numPr>
        <w:tabs>
          <w:tab w:val="clear" w:pos="720"/>
        </w:tabs>
        <w:ind w:hanging="0" w:start="0"/>
        <w:rPr/>
      </w:pPr>
      <w:r>
        <w:rPr/>
        <w:t xml:space="preserve"> </w:t>
      </w:r>
      <w:r>
        <w:rPr/>
        <w:t>"</w:t>
      </w:r>
      <w:r>
        <w:rPr>
          <w:i/>
        </w:rPr>
        <w:t>Securities Act</w:t>
      </w:r>
      <w:r>
        <w:rPr/>
        <w:t>" means the Securities Act of 1933, as amended, and all rules and regulations promulgated thereunder.</w:t>
      </w:r>
    </w:p>
    <w:p>
      <w:pPr>
        <w:pStyle w:val="List"/>
        <w:numPr>
          <w:ilvl w:val="2"/>
          <w:numId w:val="5"/>
        </w:numPr>
        <w:tabs>
          <w:tab w:val="clear" w:pos="720"/>
        </w:tabs>
        <w:ind w:hanging="0" w:start="0"/>
        <w:rPr/>
      </w:pPr>
      <w:r>
        <w:rPr/>
        <w:t>"</w:t>
      </w:r>
      <w:r>
        <w:rPr>
          <w:i/>
        </w:rPr>
        <w:t>Seller</w:t>
      </w:r>
      <w:r>
        <w:rPr/>
        <w:t>" has the meaning set forth in the Preamble of this Purchase Agreement.</w:t>
      </w:r>
    </w:p>
    <w:p>
      <w:pPr>
        <w:pStyle w:val="List"/>
        <w:numPr>
          <w:ilvl w:val="2"/>
          <w:numId w:val="5"/>
        </w:numPr>
        <w:tabs>
          <w:tab w:val="clear" w:pos="720"/>
        </w:tabs>
        <w:ind w:hanging="0" w:start="0"/>
        <w:rPr/>
      </w:pPr>
      <w:r>
        <w:rPr/>
        <w:t>"</w:t>
      </w:r>
      <w:r>
        <w:rPr>
          <w:i/>
        </w:rPr>
        <w:t>Tax</w:t>
      </w:r>
      <w:r>
        <w:rPr/>
        <w:t>" means all taxes, however denominated, including any interest, penalties or other additions becoming due or payable in respect thereof, imposed by any Governmental Authority with jurisdiction to do so.</w:t>
      </w:r>
      <w:r>
        <w:rPr>
          <w:i/>
        </w:rPr>
        <w:t xml:space="preserve"> </w:t>
      </w:r>
    </w:p>
    <w:p>
      <w:pPr>
        <w:pStyle w:val="Heading1"/>
        <w:numPr>
          <w:ilvl w:val="1"/>
          <w:numId w:val="5"/>
        </w:numPr>
        <w:tabs>
          <w:tab w:val="clear" w:pos="720"/>
        </w:tabs>
        <w:ind w:hanging="0" w:start="0"/>
        <w:rPr/>
      </w:pPr>
      <w:r>
        <w:rPr>
          <w:u w:val="single"/>
        </w:rPr>
        <w:t>Rules of Construction</w:t>
      </w:r>
      <w:r>
        <w:fldChar w:fldCharType="begin"/>
      </w:r>
      <w:r>
        <w:rPr/>
        <w:instrText xml:space="preserve"> TC "Section 1.2</w:instrText>
        <w:tab/>
        <w:instrText xml:space="preserve">Rules of Construction" \l 2 </w:instrText>
      </w:r>
      <w:r>
        <w:rPr/>
        <w:fldChar w:fldCharType="separate"/>
      </w:r>
      <w:r>
        <w:rPr/>
      </w:r>
      <w:r>
        <w:rPr/>
        <w:fldChar w:fldCharType="end"/>
      </w:r>
      <w:bookmarkStart w:id="2" w:name="__RefHeading___Toc500080712"/>
      <w:bookmarkEnd w:id="2"/>
      <w:r>
        <w:rPr/>
        <w:t>.  The following rules of construction shall be followed when interpreting this Purchase Agreement:</w:t>
      </w:r>
    </w:p>
    <w:p>
      <w:pPr>
        <w:pStyle w:val="ListBullet2"/>
        <w:numPr>
          <w:ilvl w:val="3"/>
          <w:numId w:val="5"/>
        </w:numPr>
        <w:tabs>
          <w:tab w:val="clear" w:pos="720"/>
        </w:tabs>
        <w:ind w:hanging="0" w:start="0"/>
        <w:rPr/>
      </w:pPr>
      <w:r>
        <w:rPr/>
        <w:t xml:space="preserve">titles and headings are inserted for convenience of reference only and shall not be used for the purposes of construing or interpreting this Purchase Agreement;  </w:t>
      </w:r>
    </w:p>
    <w:p>
      <w:pPr>
        <w:pStyle w:val="ListBullet2"/>
        <w:numPr>
          <w:ilvl w:val="3"/>
          <w:numId w:val="5"/>
        </w:numPr>
        <w:tabs>
          <w:tab w:val="clear" w:pos="720"/>
        </w:tabs>
        <w:ind w:hanging="0" w:start="0"/>
        <w:rPr/>
      </w:pPr>
      <w:r>
        <w:rPr/>
        <w:t xml:space="preserve">words importing the singular also include the plural and vice versa;  </w:t>
      </w:r>
    </w:p>
    <w:p>
      <w:pPr>
        <w:pStyle w:val="ListBullet2"/>
        <w:numPr>
          <w:ilvl w:val="3"/>
          <w:numId w:val="5"/>
        </w:numPr>
        <w:tabs>
          <w:tab w:val="clear" w:pos="720"/>
        </w:tabs>
        <w:ind w:hanging="0" w:start="0"/>
        <w:rPr/>
      </w:pPr>
      <w:r>
        <w:rPr/>
        <w:t xml:space="preserve">references to natural persons or parties includes firms, or any other entity having legal capacity; </w:t>
      </w:r>
    </w:p>
    <w:p>
      <w:pPr>
        <w:pStyle w:val="ListBullet2"/>
        <w:numPr>
          <w:ilvl w:val="3"/>
          <w:numId w:val="5"/>
        </w:numPr>
        <w:ind w:hanging="0" w:start="0"/>
        <w:rPr/>
      </w:pPr>
      <w:r>
        <w:rPr/>
        <w:t xml:space="preserve">words importing one gender include the other gender;  </w:t>
      </w:r>
    </w:p>
    <w:p>
      <w:pPr>
        <w:pStyle w:val="ListBullet2"/>
        <w:numPr>
          <w:ilvl w:val="3"/>
          <w:numId w:val="5"/>
        </w:numPr>
        <w:ind w:hanging="0" w:start="0"/>
        <w:rPr/>
      </w:pPr>
      <w:r>
        <w:rPr/>
        <w:t>the words “include” and its syntactical variants means “includes, but not limited to” and corresponding syntactical variant expressions;</w:t>
      </w:r>
    </w:p>
    <w:p>
      <w:pPr>
        <w:pStyle w:val="ListBullet2"/>
        <w:numPr>
          <w:ilvl w:val="3"/>
          <w:numId w:val="5"/>
        </w:numPr>
        <w:ind w:hanging="0" w:start="0"/>
        <w:rPr/>
      </w:pPr>
      <w:r>
        <w:rPr/>
        <w:t>except as otherwise set forth herein, all references contained herein to contracts, agreements, or other documents shall be deemed to mean such contracts, agreements or documents, as the same may be modified, supplemented, or amended from time-to-time;</w:t>
      </w:r>
    </w:p>
    <w:p>
      <w:pPr>
        <w:pStyle w:val="ListBullet2"/>
        <w:numPr>
          <w:ilvl w:val="3"/>
          <w:numId w:val="5"/>
        </w:numPr>
        <w:ind w:hanging="0" w:start="0"/>
        <w:rPr/>
      </w:pPr>
      <w:r>
        <w:rPr/>
        <w:t>words and abbreviations not defined in this Purchase Agreement which have well-known technical or design, engineering, or construction industry meanings are used in this Purchase Agreement in accordance with such recognized meanings;</w:t>
      </w:r>
    </w:p>
    <w:p>
      <w:pPr>
        <w:pStyle w:val="ListBullet2"/>
        <w:numPr>
          <w:ilvl w:val="3"/>
          <w:numId w:val="5"/>
        </w:numPr>
        <w:ind w:hanging="0" w:start="0"/>
        <w:rPr/>
      </w:pPr>
      <w:r>
        <w:rPr/>
        <w:t>each reference to any applicable law shall be construed as a reference to such applicable law as it may have been, or may from time to time be, amended, replaced, extended or re-enacted and shall include any subordinate legislation, rule or regulation promulgated under any such applicable law and all protocols, codes, proclamations and ordinances issued or otherwise applicable under any such law; and</w:t>
      </w:r>
    </w:p>
    <w:p>
      <w:pPr>
        <w:pStyle w:val="ListBullet2"/>
        <w:numPr>
          <w:ilvl w:val="3"/>
          <w:numId w:val="5"/>
        </w:numPr>
        <w:ind w:hanging="0" w:start="0"/>
        <w:rPr/>
      </w:pPr>
      <w:r>
        <w:rPr/>
        <w:t>the terms “hereof”, “herein”, “hereto”, “hereunder” and words of similar or like import, refer to this entire Purchase Agreement and not any one particular Article, Section, Schedule, or other subdivision of this Purchase Agreement.</w:t>
      </w:r>
    </w:p>
    <w:p>
      <w:pPr>
        <w:pStyle w:val="ARTICLE"/>
        <w:numPr>
          <w:ilvl w:val="0"/>
          <w:numId w:val="5"/>
        </w:numPr>
        <w:ind w:hanging="0" w:start="0"/>
        <w:rPr/>
      </w:pPr>
      <w:r>
        <w:rPr/>
        <w:br/>
        <w:t>PURCHASE AND SALE OF INTERESTS</w:t>
      </w:r>
      <w:r>
        <w:fldChar w:fldCharType="begin"/>
      </w:r>
      <w:r>
        <w:rPr/>
        <w:instrText xml:space="preserve"> TC "ARTICLE II</w:instrText>
        <w:tab/>
        <w:instrText xml:space="preserve">PURCHASE AND SALE OF INTERESTS " \l 1 </w:instrText>
      </w:r>
      <w:r>
        <w:rPr/>
        <w:fldChar w:fldCharType="separate"/>
      </w:r>
      <w:r>
        <w:rPr/>
      </w:r>
      <w:r>
        <w:rPr/>
        <w:fldChar w:fldCharType="end"/>
      </w:r>
      <w:bookmarkStart w:id="3" w:name="__RefHeading___Toc500080713"/>
      <w:bookmarkEnd w:id="3"/>
    </w:p>
    <w:p>
      <w:pPr>
        <w:pStyle w:val="Heading1"/>
        <w:numPr>
          <w:ilvl w:val="1"/>
          <w:numId w:val="5"/>
        </w:numPr>
        <w:tabs>
          <w:tab w:val="clear" w:pos="720"/>
        </w:tabs>
        <w:ind w:hanging="0" w:start="0"/>
        <w:rPr/>
      </w:pPr>
      <w:r>
        <w:rPr>
          <w:u w:val="single"/>
        </w:rPr>
        <w:t>Grant of Option</w:t>
      </w:r>
      <w:r>
        <w:rPr/>
        <w:t xml:space="preserve">. </w:t>
      </w:r>
      <w:r>
        <w:fldChar w:fldCharType="begin"/>
      </w:r>
      <w:r>
        <w:rPr/>
        <w:instrText xml:space="preserve"> TC "Section 2.1</w:instrText>
        <w:tab/>
        <w:instrText xml:space="preserve">Grant of Option[s]" \l 2 </w:instrText>
      </w:r>
      <w:r>
        <w:rPr/>
        <w:fldChar w:fldCharType="separate"/>
      </w:r>
      <w:r>
        <w:rPr/>
      </w:r>
      <w:r>
        <w:rPr/>
        <w:fldChar w:fldCharType="end"/>
      </w:r>
      <w:bookmarkStart w:id="4" w:name="__RefHeading___Toc500080714"/>
      <w:bookmarkEnd w:id="4"/>
      <w:r>
        <w:rPr/>
        <w:t xml:space="preserve">  In consideration of the sum of Three Hundred Fifty Thousand and No/100 U.S. Dollars ($350,000.00) (the "Option Consideration") to be paid on the Effective Date by wire transfer or intrabank transfer of immediately available funds to an account designated by Seller, Seller hereby grants to Purchaser the option to purchase one hundred percent (100%) of the membership interests of Kendall (the "Interests") for a cash purchase price (the "Purchase Price") equal to Three Million One Hundred Fifty Thousand and No/100 U.S. Dollars ($3,150,000.00), subject to reduction pursuant to Section 2.2, to be paid as provided in Section 2.5 and otherwise pursuant to the terms and conditions described in this Purchase Agreement (the "Option"). Purchaser hereby agrees that the Option Consideration is fully earned by Seller when paid and is not refundable under any circumstances and Seller has no ongoing performance obligations of any kind with respect thereto. Subject to the terms of Section 2.2, the Option may be exercised by Purchaser at any time from the Effective Date until April 15, 2001 (the "Expiration Date") by providing written notice to Seller (the "Notice of Exercise") and thereafter the Option shall be void.</w:t>
      </w:r>
    </w:p>
    <w:p>
      <w:pPr>
        <w:pStyle w:val="Heading1"/>
        <w:numPr>
          <w:ilvl w:val="1"/>
          <w:numId w:val="5"/>
        </w:numPr>
        <w:tabs>
          <w:tab w:val="clear" w:pos="720"/>
        </w:tabs>
        <w:ind w:hanging="0" w:start="0"/>
        <w:rPr/>
      </w:pPr>
      <w:r>
        <w:rPr>
          <w:u w:val="single"/>
        </w:rPr>
        <w:t>Early Option Termination</w:t>
      </w:r>
      <w:r>
        <w:fldChar w:fldCharType="begin"/>
      </w:r>
      <w:r>
        <w:rPr/>
        <w:instrText xml:space="preserve"> TC "Section 2.2</w:instrText>
        <w:tab/>
        <w:instrText xml:space="preserve">Early Option Termination" \l 2 </w:instrText>
      </w:r>
      <w:r>
        <w:rPr/>
        <w:fldChar w:fldCharType="separate"/>
      </w:r>
      <w:r>
        <w:rPr/>
      </w:r>
      <w:r>
        <w:rPr/>
        <w:fldChar w:fldCharType="end"/>
      </w:r>
      <w:bookmarkStart w:id="5" w:name="__RefHeading___Toc500080715"/>
      <w:bookmarkEnd w:id="5"/>
      <w:r>
        <w:rPr/>
        <w:t xml:space="preserve">.  If the Option has not been exercised by or on March 15, 2001, then the Option shall terminate and shall be void, unless Purchaser pays to Seller an option premium (the "Option Premium") in the amount of Seven Hundred Thousand and No/100 U.S. Dollars </w:t>
      </w:r>
      <w:r>
        <w:rPr>
          <w:b/>
        </w:rPr>
        <w:t xml:space="preserve"> </w:t>
      </w:r>
      <w:r>
        <w:rPr/>
        <w:t>($700,000.00), such payment to be made by wire or intrabank transfer of immediately available funds to an account of Seller designated by Seller at least one (1) Business Day prior to the date on which the payment is due.  Purchaser hereby agrees that the Option Premium is fully earned by Seller when paid and is not refundable under any circumstances and Seller has no ongoing performance obligations of any kind with respect thereto.  If the Option Premium is actually paid by Purchaser to Seller in accordance with the terms hereof, then the Purchase Price shall be reduced by an amount equal to the Option Premium.</w:t>
      </w:r>
    </w:p>
    <w:p>
      <w:pPr>
        <w:pStyle w:val="Heading1"/>
        <w:numPr>
          <w:ilvl w:val="1"/>
          <w:numId w:val="5"/>
        </w:numPr>
        <w:tabs>
          <w:tab w:val="clear" w:pos="720"/>
        </w:tabs>
        <w:ind w:hanging="0" w:start="0"/>
        <w:rPr>
          <w:u w:val="single"/>
        </w:rPr>
      </w:pPr>
      <w:r>
        <w:rPr>
          <w:u w:val="single"/>
        </w:rPr>
        <w:t>Closings</w:t>
      </w:r>
      <w:r>
        <w:fldChar w:fldCharType="begin"/>
      </w:r>
      <w:r>
        <w:rPr/>
        <w:instrText xml:space="preserve"> TC "Section 2.3</w:instrText>
        <w:tab/>
        <w:instrText xml:space="preserve">Closings" \l 2 </w:instrText>
      </w:r>
      <w:r>
        <w:rPr/>
        <w:fldChar w:fldCharType="separate"/>
      </w:r>
      <w:r>
        <w:rPr/>
      </w:r>
      <w:r>
        <w:rPr/>
        <w:fldChar w:fldCharType="end"/>
      </w:r>
      <w:bookmarkStart w:id="6" w:name="__RefHeading___Toc500080716"/>
      <w:bookmarkEnd w:id="6"/>
      <w:r>
        <w:rPr/>
        <w:t>.  The purchase and sale of the Interests will take place at a closing (the "Closing") to be held at the offices of Seller at 9:00 a.m. Houston, Texas time, after satisfaction of each of the conditions set forth in Article V of this Purchase Agreement, on the date to which Seller and Purchaser shall mutually agree (the "Closing Date").</w:t>
      </w:r>
    </w:p>
    <w:p>
      <w:pPr>
        <w:pStyle w:val="Normal"/>
        <w:rPr>
          <w:u w:val="single"/>
        </w:rPr>
      </w:pPr>
      <w:r>
        <w:rPr>
          <w:u w:val="single"/>
        </w:rPr>
      </w:r>
    </w:p>
    <w:p>
      <w:pPr>
        <w:pStyle w:val="Heading1"/>
        <w:numPr>
          <w:ilvl w:val="1"/>
          <w:numId w:val="5"/>
        </w:numPr>
        <w:tabs>
          <w:tab w:val="clear" w:pos="720"/>
        </w:tabs>
        <w:ind w:hanging="0" w:start="0"/>
        <w:rPr/>
      </w:pPr>
      <w:r>
        <w:rPr>
          <w:u w:val="single"/>
        </w:rPr>
        <w:t>Deliveries</w:t>
      </w:r>
      <w:r>
        <w:fldChar w:fldCharType="begin"/>
      </w:r>
      <w:r>
        <w:rPr/>
        <w:instrText xml:space="preserve"> TC "Section 2.4</w:instrText>
        <w:tab/>
        <w:instrText xml:space="preserve">Deliveries" \l 2 </w:instrText>
      </w:r>
      <w:r>
        <w:rPr/>
        <w:fldChar w:fldCharType="separate"/>
      </w:r>
      <w:r>
        <w:rPr/>
      </w:r>
      <w:r>
        <w:rPr/>
        <w:fldChar w:fldCharType="end"/>
      </w:r>
      <w:bookmarkStart w:id="7" w:name="__RefHeading___Toc500080717"/>
      <w:bookmarkEnd w:id="7"/>
      <w:r>
        <w:rPr/>
        <w:t xml:space="preserve">.  The purchase and sale of the Interests pursuant to this Purchase Agreement shall be made at the Closing by Seller delivering to Purchaser, against payment therefor as provided in Section 2.5 below, the Assignment of Interest, in the form attached hereto as </w:t>
      </w:r>
      <w:r>
        <w:rPr>
          <w:u w:val="single"/>
        </w:rPr>
        <w:t>Exhibit A</w:t>
      </w:r>
      <w:r>
        <w:rPr/>
        <w:t>. </w:t>
      </w:r>
    </w:p>
    <w:p>
      <w:pPr>
        <w:pStyle w:val="Heading1"/>
        <w:numPr>
          <w:ilvl w:val="1"/>
          <w:numId w:val="5"/>
        </w:numPr>
        <w:tabs>
          <w:tab w:val="clear" w:pos="720"/>
        </w:tabs>
        <w:ind w:hanging="0" w:start="0"/>
        <w:rPr/>
      </w:pPr>
      <w:r>
        <w:rPr>
          <w:u w:val="single"/>
        </w:rPr>
        <w:t>Payment of Purchase Price</w:t>
      </w:r>
      <w:r>
        <w:rPr/>
        <w:t xml:space="preserve">. </w:t>
      </w:r>
      <w:r>
        <w:fldChar w:fldCharType="begin"/>
      </w:r>
      <w:r>
        <w:rPr/>
        <w:instrText xml:space="preserve"> TC "Section 2.5</w:instrText>
        <w:tab/>
        <w:instrText xml:space="preserve">Payment of Purchase Price" \l 2 </w:instrText>
      </w:r>
      <w:r>
        <w:rPr/>
        <w:fldChar w:fldCharType="separate"/>
      </w:r>
      <w:r>
        <w:rPr/>
      </w:r>
      <w:r>
        <w:rPr/>
        <w:fldChar w:fldCharType="end"/>
      </w:r>
      <w:bookmarkStart w:id="8" w:name="__RefHeading___Toc500080718"/>
      <w:bookmarkEnd w:id="8"/>
      <w:r>
        <w:rPr/>
        <w:t xml:space="preserve"> Payment of the Purchase Price shall be made by wire transfer of immediately available funds to an account designated by Seller.</w:t>
      </w:r>
    </w:p>
    <w:p>
      <w:pPr>
        <w:pStyle w:val="Normal"/>
        <w:rPr/>
      </w:pPr>
      <w:r>
        <w:rPr/>
      </w:r>
    </w:p>
    <w:p>
      <w:pPr>
        <w:pStyle w:val="ARTICLE"/>
        <w:numPr>
          <w:ilvl w:val="0"/>
          <w:numId w:val="5"/>
        </w:numPr>
        <w:ind w:hanging="0" w:start="0"/>
        <w:rPr/>
      </w:pPr>
      <w:r>
        <w:rPr/>
        <w:br/>
        <w:t>REPRESENTATIONS AND WARRANTIES OF SELLER</w:t>
      </w:r>
      <w:r>
        <w:fldChar w:fldCharType="begin"/>
      </w:r>
      <w:r>
        <w:rPr/>
        <w:instrText xml:space="preserve"> TC "ARTICLE III</w:instrText>
        <w:tab/>
        <w:instrText xml:space="preserve">REPRESENTATIONS AND WARRANTIES OF SELLER" \l 1 </w:instrText>
      </w:r>
      <w:r>
        <w:rPr/>
        <w:fldChar w:fldCharType="separate"/>
      </w:r>
      <w:r>
        <w:rPr/>
      </w:r>
      <w:r>
        <w:rPr/>
        <w:fldChar w:fldCharType="end"/>
      </w:r>
      <w:bookmarkStart w:id="9" w:name="__RefHeading___Toc500080719"/>
      <w:bookmarkEnd w:id="9"/>
    </w:p>
    <w:p>
      <w:pPr>
        <w:pStyle w:val="BodyTextFirstIndent"/>
        <w:keepNext w:val="true"/>
        <w:keepLines/>
        <w:spacing w:before="0" w:after="0"/>
        <w:rPr/>
      </w:pPr>
      <w:r>
        <w:rPr/>
        <w:t>Seller represents and warrants to Purchaser as follows:</w:t>
      </w:r>
    </w:p>
    <w:p>
      <w:pPr>
        <w:pStyle w:val="Normal"/>
        <w:tabs>
          <w:tab w:val="left" w:pos="720" w:leader="none"/>
        </w:tabs>
        <w:rPr/>
      </w:pPr>
      <w:r>
        <w:rPr/>
      </w:r>
    </w:p>
    <w:p>
      <w:pPr>
        <w:pStyle w:val="Heading1"/>
        <w:numPr>
          <w:ilvl w:val="1"/>
          <w:numId w:val="5"/>
        </w:numPr>
        <w:tabs>
          <w:tab w:val="clear" w:pos="720"/>
        </w:tabs>
        <w:ind w:hanging="0" w:start="0"/>
        <w:rPr/>
      </w:pPr>
      <w:r>
        <w:rPr>
          <w:u w:val="single"/>
        </w:rPr>
        <w:t xml:space="preserve">Organization </w:t>
      </w:r>
      <w:r>
        <w:fldChar w:fldCharType="begin"/>
      </w:r>
      <w:r>
        <w:rPr/>
        <w:instrText xml:space="preserve"> TC "Section 3.1</w:instrText>
        <w:tab/>
        <w:instrText xml:space="preserve">Organization " \l 2 </w:instrText>
      </w:r>
      <w:r>
        <w:rPr/>
        <w:fldChar w:fldCharType="separate"/>
      </w:r>
      <w:r>
        <w:rPr/>
      </w:r>
      <w:r>
        <w:rPr/>
        <w:fldChar w:fldCharType="end"/>
      </w:r>
      <w:bookmarkStart w:id="10" w:name="__RefHeading___Toc500080720"/>
      <w:bookmarkEnd w:id="10"/>
      <w:r>
        <w:rPr/>
        <w:t>. The Company is a limited liability company duly organized, validly existing and in good standing under the laws of the State of Delaware. The Company is duly qualified or licensed and authorized to transact business in the State of Illinois.  A true and correct copy of the Certificate of Formation of the Company, as amended to date, has been or will be made available to the Purchaser.  Seller is a Delaware corporation, duly organized, validly existing and in good standing under the laws of the State of Delaware.</w:t>
      </w:r>
    </w:p>
    <w:p>
      <w:pPr>
        <w:pStyle w:val="Heading1"/>
        <w:numPr>
          <w:ilvl w:val="1"/>
          <w:numId w:val="5"/>
        </w:numPr>
        <w:tabs>
          <w:tab w:val="clear" w:pos="720"/>
        </w:tabs>
        <w:ind w:hanging="0" w:start="0"/>
        <w:rPr/>
      </w:pPr>
      <w:r>
        <w:rPr>
          <w:u w:val="single"/>
        </w:rPr>
        <w:t>No Prior Business</w:t>
      </w:r>
      <w:r>
        <w:fldChar w:fldCharType="begin"/>
      </w:r>
      <w:r>
        <w:rPr/>
        <w:instrText xml:space="preserve"> TC "Section 3.2</w:instrText>
        <w:tab/>
        <w:instrText xml:space="preserve">No Prior Business" \l 2 </w:instrText>
      </w:r>
      <w:r>
        <w:rPr/>
        <w:fldChar w:fldCharType="separate"/>
      </w:r>
      <w:r>
        <w:rPr/>
      </w:r>
      <w:r>
        <w:rPr/>
        <w:fldChar w:fldCharType="end"/>
      </w:r>
      <w:bookmarkStart w:id="11" w:name="__RefHeading___Toc500080721"/>
      <w:bookmarkEnd w:id="11"/>
      <w:r>
        <w:rPr/>
        <w:t>. The Company has conducted no business since the date of its formation, other than the pre-construction development of the Project, including but not limited to, the negotiation, execution and delivery of the Kendall</w:t>
      </w:r>
      <w:r>
        <w:rPr>
          <w:b/>
        </w:rPr>
        <w:t xml:space="preserve"> </w:t>
      </w:r>
      <w:r>
        <w:rPr/>
        <w:t>Project Documents. The Company does not own any interest in any real property (other than the right to acquire real property interests pursuant to the Land Option Agreement) and does not own any interest in any other Person.  Except as set forth in the Project Documents, none of the Company, the Seller or any Affiliate thereof has created or granted any lien, charge, encumbrance, right of first refusal or option on any assets of the Company, or upon the membership interests therein.</w:t>
      </w:r>
    </w:p>
    <w:p>
      <w:pPr>
        <w:pStyle w:val="Heading1"/>
        <w:numPr>
          <w:ilvl w:val="1"/>
          <w:numId w:val="5"/>
        </w:numPr>
        <w:tabs>
          <w:tab w:val="clear" w:pos="720"/>
        </w:tabs>
        <w:ind w:hanging="0" w:start="0"/>
        <w:rPr/>
      </w:pPr>
      <w:r>
        <w:rPr>
          <w:u w:val="single"/>
        </w:rPr>
        <w:t>Capitalization; Title to Interests</w:t>
      </w:r>
      <w:r>
        <w:fldChar w:fldCharType="begin"/>
      </w:r>
      <w:r>
        <w:rPr/>
        <w:instrText xml:space="preserve"> TC "Section 3.3</w:instrText>
        <w:tab/>
        <w:instrText xml:space="preserve">Capitalization; Title to Interests" \l 2 </w:instrText>
      </w:r>
      <w:r>
        <w:rPr/>
        <w:fldChar w:fldCharType="separate"/>
      </w:r>
      <w:r>
        <w:rPr/>
      </w:r>
      <w:r>
        <w:rPr/>
        <w:fldChar w:fldCharType="end"/>
      </w:r>
      <w:bookmarkStart w:id="12" w:name="__RefHeading___Toc500080722"/>
      <w:bookmarkEnd w:id="12"/>
      <w:r>
        <w:rPr/>
        <w:t>. The Interests represent the entire equity interests in the Company</w:t>
      </w:r>
      <w:r>
        <w:rPr>
          <w:b/>
        </w:rPr>
        <w:t>,</w:t>
      </w:r>
      <w:r>
        <w:rPr/>
        <w:t xml:space="preserve"> and there is no outstanding option, warrant, contract</w:t>
      </w:r>
      <w:r>
        <w:rPr>
          <w:b/>
        </w:rPr>
        <w:t>,</w:t>
      </w:r>
      <w:r>
        <w:rPr/>
        <w:t xml:space="preserve"> agreement or other obligation on the part of the Company to issue or sell any equity interest in the Company to any other Person.  Seller owns the Interests free and clear of any lien, charge, encumbrance, right of first refusal, option or other claim (collectively, "Liens").  Seller has owned the Interests continuously since the date of the Company’s formation.  The Assignment of Interest to be executed and delivered by Seller at the applicable Closing is sufficient to transfer to Purchaser complete ownership of and title to the Interests, free and clear of any Liens. </w:t>
      </w:r>
    </w:p>
    <w:p>
      <w:pPr>
        <w:pStyle w:val="Heading1"/>
        <w:numPr>
          <w:ilvl w:val="1"/>
          <w:numId w:val="5"/>
        </w:numPr>
        <w:tabs>
          <w:tab w:val="clear" w:pos="720"/>
        </w:tabs>
        <w:ind w:hanging="0" w:start="0"/>
        <w:rPr/>
      </w:pPr>
      <w:r>
        <w:rPr>
          <w:u w:val="single"/>
        </w:rPr>
        <w:t>Authority</w:t>
      </w:r>
      <w:r>
        <w:fldChar w:fldCharType="begin"/>
      </w:r>
      <w:r>
        <w:rPr/>
        <w:instrText xml:space="preserve"> TC "Section 3.4</w:instrText>
        <w:tab/>
        <w:instrText xml:space="preserve">Authority" \l 2 </w:instrText>
      </w:r>
      <w:r>
        <w:rPr/>
        <w:fldChar w:fldCharType="separate"/>
      </w:r>
      <w:r>
        <w:rPr/>
      </w:r>
      <w:r>
        <w:rPr/>
        <w:fldChar w:fldCharType="end"/>
      </w:r>
      <w:bookmarkStart w:id="13" w:name="__RefHeading___Toc500080723"/>
      <w:bookmarkEnd w:id="13"/>
      <w:r>
        <w:rPr/>
        <w:t>. Seller has all requisite corporate power and authority to execute, deliver, and perform its obligations under this Purchase Agreement.</w:t>
      </w:r>
    </w:p>
    <w:p>
      <w:pPr>
        <w:pStyle w:val="Heading1"/>
        <w:numPr>
          <w:ilvl w:val="1"/>
          <w:numId w:val="5"/>
        </w:numPr>
        <w:tabs>
          <w:tab w:val="clear" w:pos="720"/>
        </w:tabs>
        <w:ind w:hanging="0" w:start="0"/>
        <w:rPr/>
      </w:pPr>
      <w:r>
        <w:rPr>
          <w:u w:val="single"/>
        </w:rPr>
        <w:t>Due Authorization, Execution, etc</w:t>
      </w:r>
      <w:r>
        <w:fldChar w:fldCharType="begin"/>
      </w:r>
      <w:r>
        <w:rPr/>
        <w:instrText xml:space="preserve"> TC "Section 3.5</w:instrText>
        <w:tab/>
        <w:instrText xml:space="preserve">Due Authorization, Execution, etc" \l 2 </w:instrText>
      </w:r>
      <w:r>
        <w:rPr/>
        <w:fldChar w:fldCharType="separate"/>
      </w:r>
      <w:r>
        <w:rPr/>
      </w:r>
      <w:r>
        <w:rPr/>
        <w:fldChar w:fldCharType="end"/>
      </w:r>
      <w:bookmarkStart w:id="14" w:name="__RefHeading___Toc500080724"/>
      <w:bookmarkEnd w:id="14"/>
      <w:r>
        <w:rPr/>
        <w:t>. This Purchase Agreement has been duly authorized, and when executed and delivered by Seller will constitute the legal, valid, and binding obligation of Seller, enforceable against Seller in accordance with its terms, except as limited by applicable bankruptcy, insolvency, reorganization, moratorium or other similar laws now or hereafter in effect relating to or affecting creditors' rights generally, and subject to the limitations imposed by general equitable principles (regardless of whether such enforceability is considered in a proceeding at law or in equity).</w:t>
      </w:r>
    </w:p>
    <w:p>
      <w:pPr>
        <w:pStyle w:val="Heading1"/>
        <w:numPr>
          <w:ilvl w:val="1"/>
          <w:numId w:val="5"/>
        </w:numPr>
        <w:tabs>
          <w:tab w:val="clear" w:pos="720"/>
        </w:tabs>
        <w:ind w:hanging="0" w:start="0"/>
        <w:rPr/>
      </w:pPr>
      <w:r>
        <w:rPr>
          <w:u w:val="single"/>
        </w:rPr>
        <w:t>No Violation</w:t>
      </w:r>
      <w:r>
        <w:fldChar w:fldCharType="begin"/>
      </w:r>
      <w:r>
        <w:rPr/>
        <w:instrText xml:space="preserve"> TC "Section 3.6</w:instrText>
        <w:tab/>
        <w:instrText xml:space="preserve">No Violation" \l 2 </w:instrText>
      </w:r>
      <w:r>
        <w:rPr/>
        <w:fldChar w:fldCharType="separate"/>
      </w:r>
      <w:r>
        <w:rPr/>
      </w:r>
      <w:r>
        <w:rPr/>
        <w:fldChar w:fldCharType="end"/>
      </w:r>
      <w:bookmarkStart w:id="15" w:name="__RefHeading___Toc500080725"/>
      <w:bookmarkEnd w:id="15"/>
      <w:r>
        <w:rPr/>
        <w:t>. The execution and delivery of this Purchase Agreement and the consummation of the transactions contemplated hereby will not violate, conflict with, or constitute a default under (a) the charter, bylaws, or other governing documents of Seller or the Company, (b) any loan or credit agreement or any other agreement or instrument to which Seller or the Company is a party, or (c) any order of any Governmental Authority binding on Seller or the Company.</w:t>
      </w:r>
    </w:p>
    <w:p>
      <w:pPr>
        <w:pStyle w:val="Heading1"/>
        <w:numPr>
          <w:ilvl w:val="1"/>
          <w:numId w:val="5"/>
        </w:numPr>
        <w:tabs>
          <w:tab w:val="clear" w:pos="720"/>
        </w:tabs>
        <w:ind w:hanging="0" w:start="0"/>
        <w:rPr/>
      </w:pPr>
      <w:r>
        <w:rPr>
          <w:u w:val="single"/>
        </w:rPr>
        <w:t>Litigation, Proceedings, etc</w:t>
      </w:r>
      <w:r>
        <w:fldChar w:fldCharType="begin"/>
      </w:r>
      <w:r>
        <w:rPr/>
        <w:instrText xml:space="preserve"> TC "Section 3.7</w:instrText>
        <w:tab/>
        <w:instrText xml:space="preserve">Litigation, Proceedings, etc" \l 2 </w:instrText>
      </w:r>
      <w:r>
        <w:rPr/>
        <w:fldChar w:fldCharType="separate"/>
      </w:r>
      <w:r>
        <w:rPr/>
      </w:r>
      <w:r>
        <w:rPr/>
        <w:fldChar w:fldCharType="end"/>
      </w:r>
      <w:bookmarkStart w:id="16" w:name="__RefHeading___Toc500080726"/>
      <w:bookmarkEnd w:id="16"/>
      <w:r>
        <w:rPr>
          <w:u w:val="single"/>
        </w:rPr>
        <w:t>.</w:t>
      </w:r>
      <w:r>
        <w:rPr/>
        <w:t xml:space="preserve"> There is no Action pending or, to the actual knowledge of Seller, contemplated or threatened against or affecting the Company or its properties or assets, nor is any Action pending or, to the actual knowledge of Seller, threatened against Seller, which relates to or calls into question the legality, validity, or enforceability of this Purchase Agreement or the Kendall</w:t>
      </w:r>
      <w:r>
        <w:rPr>
          <w:b/>
        </w:rPr>
        <w:t xml:space="preserve"> </w:t>
      </w:r>
      <w:r>
        <w:rPr/>
        <w:t>Project Documents, or which, individually or in the aggregate, reasonably could be expected to impair the ability or obligation of Seller to perform its obligations under this Purchase Agreement in any material respect.</w:t>
      </w:r>
    </w:p>
    <w:p>
      <w:pPr>
        <w:pStyle w:val="Heading1"/>
        <w:numPr>
          <w:ilvl w:val="1"/>
          <w:numId w:val="5"/>
        </w:numPr>
        <w:tabs>
          <w:tab w:val="clear" w:pos="720"/>
        </w:tabs>
        <w:ind w:hanging="0" w:start="0"/>
        <w:rPr/>
      </w:pPr>
      <w:r>
        <w:rPr>
          <w:u w:val="single"/>
        </w:rPr>
        <w:t>Consents and Waiver</w:t>
      </w:r>
      <w:r>
        <w:fldChar w:fldCharType="begin"/>
      </w:r>
      <w:r>
        <w:rPr/>
        <w:instrText xml:space="preserve"> TC "Section 3.8</w:instrText>
        <w:tab/>
        <w:instrText xml:space="preserve">Consents and Waiver" \l 2 </w:instrText>
      </w:r>
      <w:r>
        <w:rPr/>
        <w:fldChar w:fldCharType="separate"/>
      </w:r>
      <w:r>
        <w:rPr/>
      </w:r>
      <w:r>
        <w:rPr/>
        <w:fldChar w:fldCharType="end"/>
      </w:r>
      <w:bookmarkStart w:id="17" w:name="__RefHeading___Toc500080727"/>
      <w:bookmarkEnd w:id="17"/>
      <w:r>
        <w:rPr>
          <w:u w:val="single"/>
        </w:rPr>
        <w:t>.</w:t>
      </w:r>
      <w:r>
        <w:rPr/>
        <w:t xml:space="preserve"> Except as set forth on Schedule 3.8, no authorization, consent, approval, waiver, license, qualification or written exemption from, nor any filing, declaration, qualification or registration with, any Governmental Authority or any other Person is required in connection with the execution, delivery or performance by Seller of this Purchase Agreement. </w:t>
      </w:r>
    </w:p>
    <w:p>
      <w:pPr>
        <w:pStyle w:val="Heading1"/>
        <w:numPr>
          <w:ilvl w:val="1"/>
          <w:numId w:val="5"/>
        </w:numPr>
        <w:tabs>
          <w:tab w:val="clear" w:pos="720"/>
        </w:tabs>
        <w:ind w:hanging="0" w:start="0"/>
        <w:rPr/>
      </w:pPr>
      <w:r>
        <w:rPr>
          <w:u w:val="single"/>
        </w:rPr>
        <w:t>Compliance with Legal Requirements</w:t>
      </w:r>
      <w:r>
        <w:fldChar w:fldCharType="begin"/>
      </w:r>
      <w:r>
        <w:rPr/>
        <w:instrText xml:space="preserve"> TC "Section 3.9</w:instrText>
        <w:tab/>
        <w:instrText xml:space="preserve">Compliance with Legal Requirements" \l 2 </w:instrText>
      </w:r>
      <w:r>
        <w:rPr/>
        <w:fldChar w:fldCharType="separate"/>
      </w:r>
      <w:r>
        <w:rPr/>
      </w:r>
      <w:r>
        <w:rPr/>
        <w:fldChar w:fldCharType="end"/>
      </w:r>
      <w:bookmarkStart w:id="18" w:name="__RefHeading___Toc500080728"/>
      <w:bookmarkEnd w:id="18"/>
      <w:r>
        <w:rPr/>
        <w:t>. Seller and the Company are in compliance with all Applicable Laws that could reasonably be expected to have a material adverse effect on Seller or the Company.  Neither Seller nor the Company has received notice from any Governmental Authority of (i) its intent to revoke or terminate any permit, or (ii) any violation by Seller or the Company of any Applicable Law relating to the Project.</w:t>
      </w:r>
    </w:p>
    <w:p>
      <w:pPr>
        <w:pStyle w:val="Heading1"/>
        <w:numPr>
          <w:ilvl w:val="1"/>
          <w:numId w:val="5"/>
        </w:numPr>
        <w:tabs>
          <w:tab w:val="clear" w:pos="720"/>
        </w:tabs>
        <w:ind w:hanging="0" w:start="0"/>
        <w:rPr/>
      </w:pPr>
      <w:r>
        <w:rPr>
          <w:u w:val="single"/>
        </w:rPr>
        <w:t>Environmental; Hazardous Materials</w:t>
      </w:r>
      <w:r>
        <w:fldChar w:fldCharType="begin"/>
      </w:r>
      <w:r>
        <w:rPr/>
        <w:instrText xml:space="preserve"> TC "Section 3.10</w:instrText>
        <w:tab/>
        <w:instrText xml:space="preserve">Environmental; Hazardous Materials" \l 2 </w:instrText>
      </w:r>
      <w:r>
        <w:rPr/>
        <w:fldChar w:fldCharType="separate"/>
      </w:r>
      <w:r>
        <w:rPr/>
      </w:r>
      <w:r>
        <w:rPr/>
        <w:fldChar w:fldCharType="end"/>
      </w:r>
      <w:bookmarkStart w:id="19" w:name="__RefHeading___Toc500080729"/>
      <w:bookmarkEnd w:id="19"/>
      <w:r>
        <w:rPr/>
        <w:t>.  There are no pending or threatened Environmental Claims against Seller or the Company with respect to the Project.  Neither Seller nor the Company has knowledge of any transportation to, placement, disposal or release on, under or to the Kendall Site of any Hazardous Materials.</w:t>
      </w:r>
    </w:p>
    <w:p>
      <w:pPr>
        <w:pStyle w:val="Heading1"/>
        <w:numPr>
          <w:ilvl w:val="1"/>
          <w:numId w:val="5"/>
        </w:numPr>
        <w:tabs>
          <w:tab w:val="clear" w:pos="720"/>
        </w:tabs>
        <w:ind w:hanging="0" w:start="0"/>
        <w:rPr/>
      </w:pPr>
      <w:r>
        <w:rPr>
          <w:u w:val="single"/>
        </w:rPr>
        <w:t>Availability of Certain Information</w:t>
      </w:r>
      <w:r>
        <w:fldChar w:fldCharType="begin"/>
      </w:r>
      <w:r>
        <w:rPr/>
        <w:instrText xml:space="preserve"> TC "Section 3.11</w:instrText>
        <w:tab/>
        <w:instrText xml:space="preserve">Availability of Certain Information" \l 2 </w:instrText>
      </w:r>
      <w:r>
        <w:rPr/>
        <w:fldChar w:fldCharType="separate"/>
      </w:r>
      <w:r>
        <w:rPr/>
      </w:r>
      <w:r>
        <w:rPr/>
        <w:fldChar w:fldCharType="end"/>
      </w:r>
      <w:bookmarkStart w:id="20" w:name="__RefHeading___Toc500080730"/>
      <w:bookmarkEnd w:id="20"/>
      <w:r>
        <w:rPr/>
        <w:t>. Seller shall from time to time make available to Purchaser all books, records, documents, and financial information which contain material information with respect to the Company and the Project; PROVIDED HOWEVER, that Seller will not provide information related to (i) Seller’s internal costs; (ii) Seller’s internal analyses, projections and forecasts; (iii) Seller’s internal approval processes; and (iv) any information covered by the attorney work product or attorney-client privilege.</w:t>
      </w:r>
    </w:p>
    <w:p>
      <w:pPr>
        <w:pStyle w:val="Heading1"/>
        <w:numPr>
          <w:ilvl w:val="1"/>
          <w:numId w:val="5"/>
        </w:numPr>
        <w:tabs>
          <w:tab w:val="clear" w:pos="720"/>
        </w:tabs>
        <w:ind w:hanging="0" w:start="0"/>
        <w:rPr/>
      </w:pPr>
      <w:r>
        <w:rPr>
          <w:u w:val="single"/>
        </w:rPr>
        <w:t>Securities Laws</w:t>
      </w:r>
      <w:r>
        <w:fldChar w:fldCharType="begin"/>
      </w:r>
      <w:r>
        <w:rPr/>
        <w:instrText xml:space="preserve"> TC "Section 3.12</w:instrText>
        <w:tab/>
        <w:instrText xml:space="preserve">Securities Laws" \l 2 </w:instrText>
      </w:r>
      <w:r>
        <w:rPr/>
        <w:fldChar w:fldCharType="separate"/>
      </w:r>
      <w:r>
        <w:rPr/>
      </w:r>
      <w:r>
        <w:rPr/>
        <w:fldChar w:fldCharType="end"/>
      </w:r>
      <w:bookmarkStart w:id="21" w:name="__RefHeading___Toc500080731"/>
      <w:bookmarkEnd w:id="21"/>
      <w:r>
        <w:rPr/>
        <w:t>.  None of Seller, the Company nor anyone authorized to act in their respective interests, has offered (or, on the Closing Date, will have offered), directly or indirectly, any Interests in violation of Section 5 of the Securities Act.</w:t>
      </w:r>
    </w:p>
    <w:p>
      <w:pPr>
        <w:pStyle w:val="Heading1"/>
        <w:numPr>
          <w:ilvl w:val="1"/>
          <w:numId w:val="5"/>
        </w:numPr>
        <w:tabs>
          <w:tab w:val="clear" w:pos="720"/>
        </w:tabs>
        <w:ind w:hanging="0" w:start="0"/>
        <w:rPr/>
      </w:pPr>
      <w:r>
        <w:rPr>
          <w:u w:val="single"/>
        </w:rPr>
        <w:t>Bankruptcy</w:t>
      </w:r>
      <w:r>
        <w:fldChar w:fldCharType="begin"/>
      </w:r>
      <w:r>
        <w:rPr/>
        <w:instrText xml:space="preserve"> TC "Section 3.13</w:instrText>
        <w:tab/>
        <w:instrText xml:space="preserve">Bankruptcy" \l 2 </w:instrText>
      </w:r>
      <w:r>
        <w:rPr/>
        <w:fldChar w:fldCharType="separate"/>
      </w:r>
      <w:r>
        <w:rPr/>
      </w:r>
      <w:r>
        <w:rPr/>
        <w:fldChar w:fldCharType="end"/>
      </w:r>
      <w:bookmarkStart w:id="22" w:name="__RefHeading___Toc500080732"/>
      <w:bookmarkEnd w:id="22"/>
      <w:r>
        <w:rPr/>
        <w:t>.  Neither Seller nor the Company has filed any voluntary petition in bankruptcy or been adjudicated as bankrupt or insolvent, filed any petition or answer seeking any reorganization, liquidation, dissolution or similar relief under any state or federal bankruptcy act, insolvency, or other debtor relief law, or sought to, consented to or acquiesced in the appointment of any trustee, receiver, conservator or liquidator of all or any part of their assets or properties.  No court of competent jurisdiction has entered an order, judgment or decree approving a petition filed against Seller or the Company seeking any reorganization, arrangement, composition, readjustment, liquidation, dissolution or similar relief under any state or federal bankruptcy act, insolvency or other debtor relief law, and no liquidator has been appointed for Seller or the Company for all or any part of their assets or properties.</w:t>
      </w:r>
    </w:p>
    <w:p>
      <w:pPr>
        <w:pStyle w:val="Heading1"/>
        <w:numPr>
          <w:ilvl w:val="1"/>
          <w:numId w:val="5"/>
        </w:numPr>
        <w:tabs>
          <w:tab w:val="clear" w:pos="720"/>
        </w:tabs>
        <w:ind w:hanging="0" w:start="0"/>
        <w:rPr/>
      </w:pPr>
      <w:r>
        <w:rPr>
          <w:u w:val="single"/>
        </w:rPr>
        <w:t>No Employees; No Plan</w:t>
      </w:r>
      <w:r>
        <w:fldChar w:fldCharType="begin"/>
      </w:r>
      <w:r>
        <w:rPr/>
        <w:instrText xml:space="preserve"> TC "Section 3.14</w:instrText>
        <w:tab/>
        <w:instrText xml:space="preserve">No Employees; No Plan" \l 2 </w:instrText>
      </w:r>
      <w:r>
        <w:rPr/>
        <w:fldChar w:fldCharType="separate"/>
      </w:r>
      <w:r>
        <w:rPr/>
      </w:r>
      <w:r>
        <w:rPr/>
        <w:fldChar w:fldCharType="end"/>
      </w:r>
      <w:bookmarkStart w:id="23" w:name="__RefHeading___Toc500080733"/>
      <w:bookmarkEnd w:id="23"/>
      <w:r>
        <w:rPr/>
        <w:t>.  The Company does not now have, nor since the date of its creation, has it ever had, any employees. The Company does not now maintain, nor since the date of its creation, has ever maintained, any Plan.</w:t>
      </w:r>
    </w:p>
    <w:p>
      <w:pPr>
        <w:pStyle w:val="Heading1"/>
        <w:numPr>
          <w:ilvl w:val="1"/>
          <w:numId w:val="5"/>
        </w:numPr>
        <w:tabs>
          <w:tab w:val="clear" w:pos="720"/>
        </w:tabs>
        <w:ind w:hanging="0" w:start="0"/>
        <w:rPr/>
      </w:pPr>
      <w:r>
        <w:rPr>
          <w:u w:val="single"/>
        </w:rPr>
        <w:t>Project Documents</w:t>
      </w:r>
      <w:r>
        <w:fldChar w:fldCharType="begin"/>
      </w:r>
      <w:r>
        <w:rPr/>
        <w:instrText xml:space="preserve"> TC "Section 3.15</w:instrText>
        <w:tab/>
        <w:instrText xml:space="preserve">Project Documents" \l 2 </w:instrText>
      </w:r>
      <w:r>
        <w:rPr/>
        <w:fldChar w:fldCharType="separate"/>
      </w:r>
      <w:r>
        <w:rPr/>
      </w:r>
      <w:r>
        <w:rPr/>
        <w:fldChar w:fldCharType="end"/>
      </w:r>
      <w:bookmarkStart w:id="24" w:name="__RefHeading___Toc500080734"/>
      <w:bookmarkEnd w:id="24"/>
      <w:r>
        <w:rPr/>
        <w:t>. The Kendall Project Documents include all material contracts or agreements pertaining to the Project to which the Company is a party, including all amendments, supplements and modifications thereto.  Seller has or shall deliver to Purchaser complete and accurate copies of each of the Project Documents. The Company is not in breach or default under any of the Kendall Project Documents.  Each Kendall</w:t>
      </w:r>
      <w:r>
        <w:rPr>
          <w:b/>
        </w:rPr>
        <w:t xml:space="preserve"> </w:t>
      </w:r>
      <w:r>
        <w:rPr/>
        <w:t>Project Document constitutes a valid and binding agreement of the parties thereto</w:t>
      </w:r>
      <w:r>
        <w:rPr>
          <w:color w:val="000000"/>
        </w:rPr>
        <w:t>, each enforceable against such parties in accordance with their respective terms, except as limited by applicable bankruptcy, insolvency, reorganization, moratorium or other similar laws now or hereafter in effect relating to or affecting creditors' rights generally, and subject to the limitations imposed by general equitable principles (regardless of whether such enforceability is considered in a proceeding at law or in equity).  Schedule 3.15 contains a complete and accurate</w:t>
      </w:r>
      <w:r>
        <w:rPr>
          <w:b/>
          <w:color w:val="000000"/>
        </w:rPr>
        <w:t xml:space="preserve"> </w:t>
      </w:r>
      <w:r>
        <w:rPr>
          <w:color w:val="000000"/>
        </w:rPr>
        <w:t xml:space="preserve">list of all </w:t>
      </w:r>
      <w:r>
        <w:rPr/>
        <w:t>Kendall</w:t>
      </w:r>
      <w:r>
        <w:rPr>
          <w:color w:val="000000"/>
        </w:rPr>
        <w:t xml:space="preserve"> Project Documents.</w:t>
      </w:r>
    </w:p>
    <w:p>
      <w:pPr>
        <w:pStyle w:val="Heading1"/>
        <w:numPr>
          <w:ilvl w:val="1"/>
          <w:numId w:val="5"/>
        </w:numPr>
        <w:tabs>
          <w:tab w:val="clear" w:pos="720"/>
        </w:tabs>
        <w:ind w:hanging="0" w:start="0"/>
        <w:rPr/>
      </w:pPr>
      <w:r>
        <w:rPr>
          <w:u w:val="single"/>
        </w:rPr>
        <w:t>Tax Matters</w:t>
      </w:r>
      <w:r>
        <w:fldChar w:fldCharType="begin"/>
      </w:r>
      <w:r>
        <w:rPr/>
        <w:instrText xml:space="preserve"> TC "Section 3.16</w:instrText>
        <w:tab/>
        <w:instrText xml:space="preserve">Tax Matters" \l 2 </w:instrText>
      </w:r>
      <w:r>
        <w:rPr/>
        <w:fldChar w:fldCharType="separate"/>
      </w:r>
      <w:r>
        <w:rPr/>
      </w:r>
      <w:r>
        <w:rPr/>
        <w:fldChar w:fldCharType="end"/>
      </w:r>
      <w:bookmarkStart w:id="25" w:name="__RefHeading___Toc500080735"/>
      <w:bookmarkEnd w:id="25"/>
      <w:r>
        <w:rPr/>
        <w:t xml:space="preserve">.  The Company has filed all state, local and federal tax reports or returns required to be filed by it and has paid or made provision for payment of all Taxes due such state, local and federal taxing authorities.  No deficiencies exist or have existed with respect to Taxes, and neither Seller nor the Company has received any notices, formal or informal, of any such deficiencies or that Tax is or may be due.  Neither Seller nor the Company has requested or received any waiver or extension of any deadline or statute of limitations with respect to any Tax owed by the Company. The Company is not a party to any Tax-sharing arrangement. The Company has not filed any election for taxation as a corporation. The Company is not required to withhold any Tax for any reason.  </w:t>
      </w:r>
    </w:p>
    <w:p>
      <w:pPr>
        <w:pStyle w:val="Heading1"/>
        <w:numPr>
          <w:ilvl w:val="1"/>
          <w:numId w:val="5"/>
        </w:numPr>
        <w:tabs>
          <w:tab w:val="clear" w:pos="720"/>
        </w:tabs>
        <w:ind w:hanging="0" w:start="0"/>
        <w:rPr/>
      </w:pPr>
      <w:r>
        <w:rPr>
          <w:u w:val="single"/>
        </w:rPr>
        <w:t>Not a Public Utility</w:t>
      </w:r>
      <w:r>
        <w:fldChar w:fldCharType="begin"/>
      </w:r>
      <w:r>
        <w:rPr/>
        <w:instrText xml:space="preserve"> TC "Section 3.17</w:instrText>
        <w:tab/>
        <w:instrText xml:space="preserve">Not a Public Utility" \l 2 </w:instrText>
      </w:r>
      <w:r>
        <w:rPr/>
        <w:fldChar w:fldCharType="separate"/>
      </w:r>
      <w:r>
        <w:rPr/>
      </w:r>
      <w:r>
        <w:rPr/>
        <w:fldChar w:fldCharType="end"/>
      </w:r>
      <w:bookmarkStart w:id="26" w:name="__RefHeading___Toc500080736"/>
      <w:bookmarkEnd w:id="26"/>
      <w:r>
        <w:rPr/>
        <w:t>.  The</w:t>
      </w:r>
      <w:r>
        <w:rPr>
          <w:b/>
        </w:rPr>
        <w:t xml:space="preserve"> </w:t>
      </w:r>
      <w:r>
        <w:rPr/>
        <w:t>Company is not a “public utility”, a “public utility company” or a “holding company” within the meaning of the FPA, PUHCA or PURPA or any like Applicable Law.</w:t>
      </w:r>
    </w:p>
    <w:p>
      <w:pPr>
        <w:pStyle w:val="Heading1"/>
        <w:numPr>
          <w:ilvl w:val="1"/>
          <w:numId w:val="5"/>
        </w:numPr>
        <w:tabs>
          <w:tab w:val="clear" w:pos="720"/>
        </w:tabs>
        <w:ind w:hanging="0" w:start="0"/>
        <w:rPr/>
      </w:pPr>
      <w:r>
        <w:rPr>
          <w:u w:val="single"/>
        </w:rPr>
        <w:t>No Undisclosed Liabilities</w:t>
      </w:r>
      <w:r>
        <w:fldChar w:fldCharType="begin"/>
      </w:r>
      <w:r>
        <w:rPr/>
        <w:instrText xml:space="preserve"> TC "Section 3.18</w:instrText>
        <w:tab/>
        <w:instrText xml:space="preserve">No Undisclosed Liabilities" \l 2 </w:instrText>
      </w:r>
      <w:r>
        <w:rPr/>
        <w:fldChar w:fldCharType="separate"/>
      </w:r>
      <w:r>
        <w:rPr/>
      </w:r>
      <w:r>
        <w:rPr/>
        <w:fldChar w:fldCharType="end"/>
      </w:r>
      <w:bookmarkStart w:id="27" w:name="__RefHeading___Toc500080737"/>
      <w:bookmarkEnd w:id="27"/>
      <w:r>
        <w:rPr/>
        <w:t xml:space="preserve">.  To Seller’s knowledge, there are no undisclosed material liabilities or obligations of the Company. </w:t>
      </w:r>
    </w:p>
    <w:p>
      <w:pPr>
        <w:pStyle w:val="Heading1"/>
        <w:numPr>
          <w:ilvl w:val="1"/>
          <w:numId w:val="5"/>
        </w:numPr>
        <w:tabs>
          <w:tab w:val="clear" w:pos="720"/>
        </w:tabs>
        <w:ind w:hanging="0" w:start="0"/>
        <w:rPr/>
      </w:pPr>
      <w:r>
        <w:rPr>
          <w:u w:val="single"/>
        </w:rPr>
        <w:t>Brokers or Finders</w:t>
      </w:r>
      <w:r>
        <w:fldChar w:fldCharType="begin"/>
      </w:r>
      <w:r>
        <w:rPr/>
        <w:instrText xml:space="preserve"> TC "Section 3.19</w:instrText>
        <w:tab/>
        <w:instrText xml:space="preserve">Brokers or Finders" \l 2 </w:instrText>
      </w:r>
      <w:r>
        <w:rPr/>
        <w:fldChar w:fldCharType="separate"/>
      </w:r>
      <w:r>
        <w:rPr/>
      </w:r>
      <w:r>
        <w:rPr/>
        <w:fldChar w:fldCharType="end"/>
      </w:r>
      <w:bookmarkStart w:id="28" w:name="__RefHeading___Toc500080738"/>
      <w:bookmarkEnd w:id="28"/>
      <w:r>
        <w:rPr/>
        <w:t>.  Neither Seller nor the Company, nor any of their Affiliates, have entered into any agreement with any broker, finder, agent, investment bank, financial advisor or other Person for payment of any fee or commission in connection with this transaction.</w:t>
      </w:r>
    </w:p>
    <w:p>
      <w:pPr>
        <w:pStyle w:val="ARTICLE"/>
        <w:numPr>
          <w:ilvl w:val="0"/>
          <w:numId w:val="5"/>
        </w:numPr>
        <w:ind w:hanging="0" w:start="0"/>
        <w:rPr/>
      </w:pPr>
      <w:r>
        <w:rPr/>
        <w:br/>
        <w:t>REPRESENTATIONS AND WARRANTIES OF PURCHASER</w:t>
      </w:r>
      <w:r>
        <w:fldChar w:fldCharType="begin"/>
      </w:r>
      <w:r>
        <w:rPr/>
        <w:instrText xml:space="preserve"> TC "ARTICLE IV</w:instrText>
        <w:tab/>
        <w:instrText xml:space="preserve">REPRESENTATIONS AND WARRANTIES OF THE PURCHASER" \l 1 </w:instrText>
      </w:r>
      <w:r>
        <w:rPr/>
        <w:fldChar w:fldCharType="separate"/>
      </w:r>
      <w:r>
        <w:rPr/>
      </w:r>
      <w:r>
        <w:rPr/>
        <w:fldChar w:fldCharType="end"/>
      </w:r>
      <w:bookmarkStart w:id="29" w:name="__RefHeading___Toc500080739"/>
      <w:bookmarkEnd w:id="29"/>
    </w:p>
    <w:p>
      <w:pPr>
        <w:pStyle w:val="Normal"/>
        <w:ind w:firstLine="720" w:end="0"/>
        <w:rPr/>
      </w:pPr>
      <w:r>
        <w:rPr/>
        <w:t>Purchaser represents and warrants to Seller as follows:</w:t>
      </w:r>
    </w:p>
    <w:p>
      <w:pPr>
        <w:pStyle w:val="Normal"/>
        <w:rPr/>
      </w:pPr>
      <w:r>
        <w:rPr/>
      </w:r>
    </w:p>
    <w:p>
      <w:pPr>
        <w:pStyle w:val="Heading1"/>
        <w:numPr>
          <w:ilvl w:val="1"/>
          <w:numId w:val="5"/>
        </w:numPr>
        <w:tabs>
          <w:tab w:val="clear" w:pos="720"/>
        </w:tabs>
        <w:ind w:hanging="0" w:start="0"/>
        <w:rPr/>
      </w:pPr>
      <w:r>
        <w:rPr>
          <w:u w:val="single"/>
        </w:rPr>
        <w:t>Organization</w:t>
      </w:r>
      <w:r>
        <w:fldChar w:fldCharType="begin"/>
      </w:r>
      <w:r>
        <w:rPr/>
        <w:instrText xml:space="preserve"> TC "Section 4.1</w:instrText>
        <w:tab/>
        <w:instrText xml:space="preserve">Organization" \l 2 </w:instrText>
      </w:r>
      <w:r>
        <w:rPr/>
        <w:fldChar w:fldCharType="separate"/>
      </w:r>
      <w:r>
        <w:rPr/>
      </w:r>
      <w:r>
        <w:rPr/>
        <w:fldChar w:fldCharType="end"/>
      </w:r>
      <w:bookmarkStart w:id="30" w:name="__RefHeading___Toc500080740"/>
      <w:bookmarkEnd w:id="30"/>
      <w:r>
        <w:rPr/>
        <w:t>. Purchaser is a corporation validly existing and in good standing under the laws of the State of _____________________.</w:t>
      </w:r>
    </w:p>
    <w:p>
      <w:pPr>
        <w:pStyle w:val="Heading1"/>
        <w:numPr>
          <w:ilvl w:val="1"/>
          <w:numId w:val="5"/>
        </w:numPr>
        <w:tabs>
          <w:tab w:val="clear" w:pos="720"/>
        </w:tabs>
        <w:ind w:hanging="0" w:start="0"/>
        <w:rPr/>
      </w:pPr>
      <w:r>
        <w:rPr>
          <w:u w:val="single"/>
        </w:rPr>
        <w:t>Authority</w:t>
      </w:r>
      <w:r>
        <w:fldChar w:fldCharType="begin"/>
      </w:r>
      <w:r>
        <w:rPr/>
        <w:instrText xml:space="preserve"> TC "Section 4.2</w:instrText>
        <w:tab/>
        <w:instrText xml:space="preserve">Authority" \l 2 </w:instrText>
      </w:r>
      <w:r>
        <w:rPr/>
        <w:fldChar w:fldCharType="separate"/>
      </w:r>
      <w:r>
        <w:rPr/>
      </w:r>
      <w:r>
        <w:rPr/>
        <w:fldChar w:fldCharType="end"/>
      </w:r>
      <w:bookmarkStart w:id="31" w:name="__RefHeading___Toc500080741"/>
      <w:bookmarkEnd w:id="31"/>
      <w:r>
        <w:rPr/>
        <w:t>. Purchaser has all requisite power and authority to execute, deliver and perform its obligations under this Purchase Agreement.</w:t>
      </w:r>
    </w:p>
    <w:p>
      <w:pPr>
        <w:pStyle w:val="Heading1"/>
        <w:numPr>
          <w:ilvl w:val="1"/>
          <w:numId w:val="5"/>
        </w:numPr>
        <w:tabs>
          <w:tab w:val="clear" w:pos="720"/>
        </w:tabs>
        <w:ind w:hanging="0" w:start="0"/>
        <w:rPr/>
      </w:pPr>
      <w:r>
        <w:rPr>
          <w:u w:val="single"/>
        </w:rPr>
        <w:t>Due Authorization, Execution, etc</w:t>
      </w:r>
      <w:r>
        <w:rPr/>
        <w:t>.</w:t>
      </w:r>
      <w:r>
        <w:fldChar w:fldCharType="begin"/>
      </w:r>
      <w:r>
        <w:rPr/>
        <w:instrText xml:space="preserve"> TC "Section 4.4</w:instrText>
        <w:tab/>
        <w:instrText xml:space="preserve">Due Authorization, Execution, etc." \l 2 </w:instrText>
      </w:r>
      <w:r>
        <w:rPr/>
        <w:fldChar w:fldCharType="separate"/>
      </w:r>
      <w:r>
        <w:rPr/>
      </w:r>
      <w:r>
        <w:rPr/>
        <w:fldChar w:fldCharType="end"/>
      </w:r>
      <w:bookmarkStart w:id="32" w:name="__RefHeading___Toc500080742"/>
      <w:bookmarkEnd w:id="32"/>
      <w:r>
        <w:rPr/>
        <w:t xml:space="preserve"> This Purchase Agreement has been duly authorized, and when executed and delivered by Purchaser will constitute legal, valid and binding obligations of Purchaser enforceable against Purchaser in accordance with its terms</w:t>
      </w:r>
      <w:r>
        <w:rPr>
          <w:color w:val="000000"/>
        </w:rPr>
        <w:t>, except as limited by applicable bankruptcy, insolvency, reorganization, moratorium or other similar laws now or hereafter in effect relating to or affecting creditors' rights generally, and subject to the limitations imposed by general equitable principles (regardless of whether such enforceability is considered in a proceeding at law or in equity)</w:t>
      </w:r>
      <w:r>
        <w:rPr/>
        <w:t>.</w:t>
      </w:r>
    </w:p>
    <w:p>
      <w:pPr>
        <w:pStyle w:val="Heading1"/>
        <w:numPr>
          <w:ilvl w:val="1"/>
          <w:numId w:val="5"/>
        </w:numPr>
        <w:tabs>
          <w:tab w:val="clear" w:pos="720"/>
        </w:tabs>
        <w:ind w:hanging="0" w:start="0"/>
        <w:rPr/>
      </w:pPr>
      <w:r>
        <w:rPr>
          <w:u w:val="single"/>
        </w:rPr>
        <w:t>No Violation</w:t>
      </w:r>
      <w:r>
        <w:fldChar w:fldCharType="begin"/>
      </w:r>
      <w:r>
        <w:rPr/>
        <w:instrText xml:space="preserve"> TC "Section 4.5</w:instrText>
        <w:tab/>
        <w:instrText xml:space="preserve">No Violation" \l 2 </w:instrText>
      </w:r>
      <w:r>
        <w:rPr/>
        <w:fldChar w:fldCharType="separate"/>
      </w:r>
      <w:r>
        <w:rPr/>
      </w:r>
      <w:r>
        <w:rPr/>
        <w:fldChar w:fldCharType="end"/>
      </w:r>
      <w:bookmarkStart w:id="33" w:name="__RefHeading___Toc500080743"/>
      <w:bookmarkEnd w:id="33"/>
      <w:r>
        <w:rPr/>
        <w:t>. The execution and delivery of this Purchase Agreement and the consummation of the transactions contemplated hereby will not violate, conflict with or constitute a default under (i) the charter, regulations or other governing documents of Purchaser, (ii) any loan or credit agreement or any other agreement or instrument to which Purchaser is a party or by which it or any of its properties is bound or (iii) any order of any Governmental Authority binding on Purchaser.</w:t>
      </w:r>
    </w:p>
    <w:p>
      <w:pPr>
        <w:pStyle w:val="Heading1"/>
        <w:numPr>
          <w:ilvl w:val="1"/>
          <w:numId w:val="5"/>
        </w:numPr>
        <w:tabs>
          <w:tab w:val="clear" w:pos="720"/>
        </w:tabs>
        <w:ind w:hanging="0" w:start="0"/>
        <w:rPr/>
      </w:pPr>
      <w:r>
        <w:rPr>
          <w:u w:val="single"/>
        </w:rPr>
        <w:t>Litigation, Proceedings, etc</w:t>
      </w:r>
      <w:r>
        <w:rPr/>
        <w:t>.</w:t>
      </w:r>
      <w:r>
        <w:fldChar w:fldCharType="begin"/>
      </w:r>
      <w:r>
        <w:rPr/>
        <w:instrText xml:space="preserve"> TC "Section 4.5</w:instrText>
        <w:tab/>
        <w:instrText xml:space="preserve">Litigation, Proceedings, etc." \l 2 </w:instrText>
      </w:r>
      <w:r>
        <w:rPr/>
        <w:fldChar w:fldCharType="separate"/>
      </w:r>
      <w:r>
        <w:rPr/>
      </w:r>
      <w:r>
        <w:rPr/>
        <w:fldChar w:fldCharType="end"/>
      </w:r>
      <w:bookmarkStart w:id="34" w:name="__RefHeading___Toc500080744"/>
      <w:bookmarkEnd w:id="34"/>
      <w:r>
        <w:rPr/>
        <w:t xml:space="preserve"> There is no Action pending or, to the knowledge of Purchaser, contemplated or threatened against or affecting Purchaser or its properties or assets, which relates to or challenges the legality, validity or enforceability of this Purchase Agreement or which (individually or in the aggregate) reasonably could be expected to impair the ability or obligation of Purchaser to perform fully on a timely basis any obligation which it has or will have under this Purchase Agreement in any material respect.</w:t>
      </w:r>
    </w:p>
    <w:p>
      <w:pPr>
        <w:pStyle w:val="Heading1"/>
        <w:numPr>
          <w:ilvl w:val="1"/>
          <w:numId w:val="5"/>
        </w:numPr>
        <w:tabs>
          <w:tab w:val="clear" w:pos="720"/>
        </w:tabs>
        <w:ind w:hanging="0" w:start="0"/>
        <w:rPr/>
      </w:pPr>
      <w:r>
        <w:rPr>
          <w:u w:val="single"/>
        </w:rPr>
        <w:t>Consents and Waivers</w:t>
      </w:r>
      <w:r>
        <w:rPr/>
        <w:t>.</w:t>
      </w:r>
      <w:r>
        <w:fldChar w:fldCharType="begin"/>
      </w:r>
      <w:r>
        <w:rPr/>
        <w:instrText xml:space="preserve"> TC "Section 4.6</w:instrText>
        <w:tab/>
        <w:instrText xml:space="preserve">Consents and Waivers" \l 2 </w:instrText>
      </w:r>
      <w:r>
        <w:rPr/>
        <w:fldChar w:fldCharType="separate"/>
      </w:r>
      <w:r>
        <w:rPr/>
      </w:r>
      <w:r>
        <w:rPr/>
        <w:fldChar w:fldCharType="end"/>
      </w:r>
      <w:bookmarkStart w:id="35" w:name="__RefHeading___Toc500080745"/>
      <w:bookmarkEnd w:id="35"/>
      <w:r>
        <w:rPr/>
        <w:t xml:space="preserve">  No authorization, consent, approval, waiver, license, qualification or written exemption from, nor any filing, declaration, qualification or registration with, any Governmental Authority or any other Person is required to be obtained by Purchaser in connection with the execution, delivery or of this Purchase Agreement and the purchase of the Interests.</w:t>
      </w:r>
    </w:p>
    <w:p>
      <w:pPr>
        <w:pStyle w:val="Heading1"/>
        <w:numPr>
          <w:ilvl w:val="1"/>
          <w:numId w:val="5"/>
        </w:numPr>
        <w:tabs>
          <w:tab w:val="clear" w:pos="720"/>
        </w:tabs>
        <w:ind w:hanging="0" w:start="0"/>
        <w:rPr/>
      </w:pPr>
      <w:r>
        <w:rPr>
          <w:u w:val="single"/>
        </w:rPr>
        <w:t>Investment</w:t>
      </w:r>
      <w:r>
        <w:fldChar w:fldCharType="begin"/>
      </w:r>
      <w:r>
        <w:rPr/>
        <w:instrText xml:space="preserve"> TC "Section 4.7</w:instrText>
        <w:tab/>
        <w:instrText xml:space="preserve">Investment" \l 2 </w:instrText>
      </w:r>
      <w:r>
        <w:rPr/>
        <w:fldChar w:fldCharType="separate"/>
      </w:r>
      <w:r>
        <w:rPr/>
      </w:r>
      <w:r>
        <w:rPr/>
        <w:fldChar w:fldCharType="end"/>
      </w:r>
      <w:bookmarkStart w:id="36" w:name="__RefHeading___Toc500080746"/>
      <w:bookmarkEnd w:id="36"/>
      <w:r>
        <w:rPr/>
        <w:t>. Purchaser understands that the Interests have not been registered under the Securities Act and, therefore, may not be resold unless they are registered under the Securities Act or unless an exemption from such registration is available.  Purchaser represents and warrants to Seller that the Interests are being acquired for investment purposes, for its own account and with no intention of distributing or reselling the Interests in violation of federal or State securities laws.  If Purchaser should in the future decide to dispose of any of the Interests, Purchaser understands and agrees that it may do so only in compliance with the Securities Act and applicable State securities laws, as then in effect.  Purchaser agrees to the imprinting, so long as appropriate, of a legend to the effect set forth above on any certificate representing the Interests.</w:t>
      </w:r>
    </w:p>
    <w:p>
      <w:pPr>
        <w:pStyle w:val="Heading1"/>
        <w:numPr>
          <w:ilvl w:val="1"/>
          <w:numId w:val="5"/>
        </w:numPr>
        <w:tabs>
          <w:tab w:val="clear" w:pos="720"/>
        </w:tabs>
        <w:ind w:hanging="0" w:start="0"/>
        <w:rPr/>
      </w:pPr>
      <w:r>
        <w:rPr>
          <w:u w:val="single"/>
        </w:rPr>
        <w:t>Nature of Purchaser</w:t>
      </w:r>
      <w:r>
        <w:fldChar w:fldCharType="begin"/>
      </w:r>
      <w:r>
        <w:rPr/>
        <w:instrText xml:space="preserve"> TC "Section 4.8</w:instrText>
        <w:tab/>
        <w:instrText xml:space="preserve">Nature of Purchaser" \l 2 </w:instrText>
      </w:r>
      <w:r>
        <w:rPr/>
        <w:fldChar w:fldCharType="separate"/>
      </w:r>
      <w:r>
        <w:rPr/>
      </w:r>
      <w:r>
        <w:rPr/>
        <w:fldChar w:fldCharType="end"/>
      </w:r>
      <w:bookmarkStart w:id="37" w:name="__RefHeading___Toc500080747"/>
      <w:bookmarkEnd w:id="37"/>
      <w:r>
        <w:rPr/>
        <w:t>.  Purchaser represents and warrants to Seller that (a) it is an "accredited investor" within the meaning of paragraph (a)(3) of Rule 501 under the Securities Act and (b) by reason of its business and financial experience it has such knowledge, sophistication and experience in business and financial matters, including the construction, development, ownership, and operation of electricity generating facilities, so as to be capable of evaluating the merits and risks of the prospective investment in the Interests, is able to bear the economic risk of such investment, and is able to afford a complete loss of such investment.</w:t>
      </w:r>
    </w:p>
    <w:p>
      <w:pPr>
        <w:pStyle w:val="Heading1"/>
        <w:numPr>
          <w:ilvl w:val="1"/>
          <w:numId w:val="5"/>
        </w:numPr>
        <w:tabs>
          <w:tab w:val="clear" w:pos="720"/>
        </w:tabs>
        <w:ind w:hanging="0" w:start="0"/>
        <w:rPr/>
      </w:pPr>
      <w:r>
        <w:rPr>
          <w:u w:val="single"/>
        </w:rPr>
        <w:t>Receipt of Information; Authorization</w:t>
      </w:r>
      <w:r>
        <w:fldChar w:fldCharType="begin"/>
      </w:r>
      <w:r>
        <w:rPr/>
        <w:instrText xml:space="preserve"> TC "Section 4.9</w:instrText>
        <w:tab/>
        <w:instrText xml:space="preserve">Receipt of Information; Authorization" \l 2 </w:instrText>
      </w:r>
      <w:r>
        <w:rPr/>
        <w:fldChar w:fldCharType="separate"/>
      </w:r>
      <w:r>
        <w:rPr/>
      </w:r>
      <w:r>
        <w:rPr/>
        <w:fldChar w:fldCharType="end"/>
      </w:r>
      <w:bookmarkStart w:id="38" w:name="__RefHeading___Toc500080748"/>
      <w:bookmarkEnd w:id="38"/>
      <w:r>
        <w:rPr/>
        <w:t>.  Purchaser acknowledges that it has had access to information regarding the business and assets of the Company and the Project and it has been provided with copies of the Kendall Project Documents.  Purchaser has been advised by legal counsel and independently evaluated the risks associated with the Project, the Company and the Kendall Project Documents and has been provided a reasonable opportunity to ask questions of and receive answers from representatives of Seller regarding such matters.</w:t>
      </w:r>
    </w:p>
    <w:p>
      <w:pPr>
        <w:pStyle w:val="ARTICLE"/>
        <w:numPr>
          <w:ilvl w:val="0"/>
          <w:numId w:val="5"/>
        </w:numPr>
        <w:ind w:hanging="0" w:start="0"/>
        <w:rPr/>
      </w:pPr>
      <w:r>
        <w:rPr/>
        <w:br/>
        <w:t>CONDITIONS PRECEDENT TO CLOSING</w:t>
      </w:r>
      <w:r>
        <w:fldChar w:fldCharType="begin"/>
      </w:r>
      <w:r>
        <w:rPr/>
        <w:instrText xml:space="preserve"> TC "ARTICLE V</w:instrText>
        <w:tab/>
        <w:instrText xml:space="preserve">CONDITIONS PRECEDENT TO CLOSING" \l 1 </w:instrText>
      </w:r>
      <w:r>
        <w:rPr/>
        <w:fldChar w:fldCharType="separate"/>
      </w:r>
      <w:r>
        <w:rPr/>
      </w:r>
      <w:r>
        <w:rPr/>
        <w:fldChar w:fldCharType="end"/>
      </w:r>
      <w:bookmarkStart w:id="39" w:name="__RefHeading___Toc500080749"/>
      <w:bookmarkEnd w:id="39"/>
    </w:p>
    <w:p>
      <w:pPr>
        <w:pStyle w:val="Heading1"/>
        <w:numPr>
          <w:ilvl w:val="1"/>
          <w:numId w:val="5"/>
        </w:numPr>
        <w:tabs>
          <w:tab w:val="clear" w:pos="720"/>
        </w:tabs>
        <w:ind w:hanging="0" w:start="0"/>
        <w:rPr/>
      </w:pPr>
      <w:r>
        <w:rPr>
          <w:u w:val="single"/>
        </w:rPr>
        <w:t>Conditions Precedent to Obligations of Purchaser</w:t>
      </w:r>
      <w:r>
        <w:fldChar w:fldCharType="begin"/>
      </w:r>
      <w:r>
        <w:rPr/>
        <w:instrText xml:space="preserve"> TC "Section 5.1</w:instrText>
        <w:tab/>
        <w:instrText xml:space="preserve">Conditions Precedent to Obligations of Purchaser" \l 2 </w:instrText>
      </w:r>
      <w:r>
        <w:rPr/>
        <w:fldChar w:fldCharType="separate"/>
      </w:r>
      <w:r>
        <w:rPr/>
      </w:r>
      <w:r>
        <w:rPr/>
        <w:fldChar w:fldCharType="end"/>
      </w:r>
      <w:bookmarkStart w:id="40" w:name="__RefHeading___Toc500080750"/>
      <w:bookmarkEnd w:id="40"/>
      <w:r>
        <w:rPr/>
        <w:t>.  The obligation of Purchaser to acquire Interests</w:t>
      </w:r>
      <w:r>
        <w:rPr>
          <w:b/>
        </w:rPr>
        <w:t xml:space="preserve"> </w:t>
      </w:r>
      <w:r>
        <w:rPr/>
        <w:t>after any Notice of Exercise relating to the proper exercise of the Option</w:t>
      </w:r>
      <w:r>
        <w:rPr>
          <w:b/>
        </w:rPr>
        <w:t xml:space="preserve">, </w:t>
      </w:r>
      <w:r>
        <w:rPr/>
        <w:t>shall be subject to the satisfaction or waiver by Purchaser of the following conditions prior to or concurrently with the applicable Closing:</w:t>
      </w:r>
    </w:p>
    <w:p>
      <w:pPr>
        <w:pStyle w:val="List"/>
        <w:numPr>
          <w:ilvl w:val="2"/>
          <w:numId w:val="5"/>
        </w:numPr>
        <w:tabs>
          <w:tab w:val="clear" w:pos="720"/>
        </w:tabs>
        <w:ind w:hanging="0" w:start="0"/>
        <w:rPr/>
      </w:pPr>
      <w:r>
        <w:rPr>
          <w:u w:val="single"/>
        </w:rPr>
        <w:t>Representations and Warranties True</w:t>
      </w:r>
      <w:r>
        <w:rPr/>
        <w:t xml:space="preserve">. The representations and warranties made by Seller herein shall be true and correct in all material respects at the time they were made and as of the Closing Date with the same effect as though such representations and warranties had been made at and as of the Closing. </w:t>
      </w:r>
    </w:p>
    <w:p>
      <w:pPr>
        <w:pStyle w:val="List"/>
        <w:numPr>
          <w:ilvl w:val="2"/>
          <w:numId w:val="5"/>
        </w:numPr>
        <w:tabs>
          <w:tab w:val="clear" w:pos="720"/>
        </w:tabs>
        <w:ind w:hanging="0" w:start="0"/>
        <w:rPr/>
      </w:pPr>
      <w:r>
        <w:rPr>
          <w:u w:val="single"/>
        </w:rPr>
        <w:t>No Violations or Legal Proceedings</w:t>
      </w:r>
      <w:r>
        <w:rPr/>
        <w:t>.  The purchase of and payment for the Interests shall not be prohibited by any Applicable Law or be the subject of any action to enjoin, temporarily or permanently, the transaction.</w:t>
      </w:r>
    </w:p>
    <w:p>
      <w:pPr>
        <w:pStyle w:val="List"/>
        <w:numPr>
          <w:ilvl w:val="2"/>
          <w:numId w:val="5"/>
        </w:numPr>
        <w:tabs>
          <w:tab w:val="clear" w:pos="720"/>
        </w:tabs>
        <w:ind w:hanging="0" w:start="0"/>
        <w:rPr/>
      </w:pPr>
      <w:r>
        <w:rPr>
          <w:u w:val="single"/>
        </w:rPr>
        <w:t>Authorization; Certification</w:t>
      </w:r>
      <w:r>
        <w:rPr/>
        <w:t xml:space="preserve">.  Purchaser shall have received, in form and substance reasonably satisfactory to Purchaser, (i) evidence as to due authorization of the execution, delivery and performance by Seller of each operative document necessary to effectuate the transaction contemplated hereby, together with a certificate as to the Person(s) authorized to execute such operative documents, (ii) evidence as to the legal existence and good standing of the Company in the State of Delaware, and (iii) documentation necessary or desirable to vest in Purchaser good and marketable title to the Interests, validly endorsed or executed in favor of Purchaser. </w:t>
      </w:r>
    </w:p>
    <w:p>
      <w:pPr>
        <w:pStyle w:val="Heading1"/>
        <w:numPr>
          <w:ilvl w:val="1"/>
          <w:numId w:val="5"/>
        </w:numPr>
        <w:tabs>
          <w:tab w:val="clear" w:pos="720"/>
        </w:tabs>
        <w:ind w:hanging="0" w:start="0"/>
        <w:rPr/>
      </w:pPr>
      <w:r>
        <w:rPr>
          <w:u w:val="single"/>
        </w:rPr>
        <w:t>Conditions Precedent to Obligations of Seller</w:t>
      </w:r>
      <w:r>
        <w:fldChar w:fldCharType="begin"/>
      </w:r>
      <w:r>
        <w:rPr/>
        <w:instrText xml:space="preserve"> TC "Section 5.2</w:instrText>
        <w:tab/>
        <w:instrText xml:space="preserve">Conditions Precedent to Obligations of Seller" \l 2 </w:instrText>
      </w:r>
      <w:r>
        <w:rPr/>
        <w:fldChar w:fldCharType="separate"/>
      </w:r>
      <w:r>
        <w:rPr/>
      </w:r>
      <w:r>
        <w:rPr/>
        <w:fldChar w:fldCharType="end"/>
      </w:r>
      <w:bookmarkStart w:id="41" w:name="__RefHeading___Toc500080751"/>
      <w:bookmarkEnd w:id="41"/>
      <w:r>
        <w:rPr/>
        <w:t>.  The obligations of Seller to sell the Interests after any proper Notice of Exercise relating to the exercise of the Option shall be subject to the satisfaction or waiver by Seller of the following conditions prior to or concurrently with the Closing:</w:t>
      </w:r>
    </w:p>
    <w:p>
      <w:pPr>
        <w:pStyle w:val="List"/>
        <w:numPr>
          <w:ilvl w:val="2"/>
          <w:numId w:val="5"/>
        </w:numPr>
        <w:tabs>
          <w:tab w:val="clear" w:pos="720"/>
        </w:tabs>
        <w:ind w:hanging="0" w:start="0"/>
        <w:rPr/>
      </w:pPr>
      <w:r>
        <w:rPr>
          <w:u w:val="single"/>
        </w:rPr>
        <w:t>Purchase Price</w:t>
      </w:r>
      <w:r>
        <w:rPr/>
        <w:t>. Purchaser shall have delivered to Seller the Purchase Price.</w:t>
      </w:r>
    </w:p>
    <w:p>
      <w:pPr>
        <w:pStyle w:val="List"/>
        <w:numPr>
          <w:ilvl w:val="2"/>
          <w:numId w:val="5"/>
        </w:numPr>
        <w:tabs>
          <w:tab w:val="clear" w:pos="720"/>
        </w:tabs>
        <w:ind w:hanging="0" w:start="0"/>
        <w:rPr/>
      </w:pPr>
      <w:r>
        <w:rPr>
          <w:u w:val="single"/>
        </w:rPr>
        <w:t>Representations and Warranties True</w:t>
      </w:r>
      <w:r>
        <w:rPr/>
        <w:t>.  The representations and warranties made by Purchaser herein shall be true and correct in all material respects at the time they were made and as of the Closing Date with the same effect as though such representations and warranties had been made at and as of the Closing Date.</w:t>
      </w:r>
    </w:p>
    <w:p>
      <w:pPr>
        <w:pStyle w:val="List"/>
        <w:numPr>
          <w:ilvl w:val="2"/>
          <w:numId w:val="5"/>
        </w:numPr>
        <w:tabs>
          <w:tab w:val="clear" w:pos="720"/>
        </w:tabs>
        <w:ind w:hanging="0" w:start="0"/>
        <w:rPr/>
      </w:pPr>
      <w:r>
        <w:rPr>
          <w:u w:val="single"/>
        </w:rPr>
        <w:t>Compliance with Agreement</w:t>
      </w:r>
      <w:r>
        <w:rPr/>
        <w:t>.  Purchaser shall have performed in all material respects all of its obligations under this Agreement required to be performed by it at or prior to the Closing.</w:t>
      </w:r>
    </w:p>
    <w:p>
      <w:pPr>
        <w:pStyle w:val="List"/>
        <w:numPr>
          <w:ilvl w:val="2"/>
          <w:numId w:val="5"/>
        </w:numPr>
        <w:tabs>
          <w:tab w:val="clear" w:pos="720"/>
        </w:tabs>
        <w:ind w:hanging="0" w:start="0"/>
        <w:rPr/>
      </w:pPr>
      <w:r>
        <w:rPr>
          <w:u w:val="single"/>
        </w:rPr>
        <w:t>No Violations or Legal Proceedings</w:t>
      </w:r>
      <w:r>
        <w:rPr/>
        <w:t>.  The purchase of and payment for the Interests shall not be prohibited by any Applicable Law or be the subject of any action to enjoin, temporarily or permanently, the transactions.</w:t>
      </w:r>
    </w:p>
    <w:p>
      <w:pPr>
        <w:pStyle w:val="List"/>
        <w:numPr>
          <w:ilvl w:val="2"/>
          <w:numId w:val="5"/>
        </w:numPr>
        <w:tabs>
          <w:tab w:val="clear" w:pos="720"/>
        </w:tabs>
        <w:ind w:hanging="0" w:start="0"/>
        <w:rPr/>
      </w:pPr>
      <w:r>
        <w:rPr>
          <w:u w:val="single"/>
        </w:rPr>
        <w:t>Authorization; Certification</w:t>
      </w:r>
      <w:r>
        <w:rPr/>
        <w:t>.  Purchaser shall have received, in form and substance reasonably satisfactory to Seller, (i) evidence as to due authorization of the execution, delivery and performance by Purchaser of each operative document necessary to effectuate the transaction contemplated hereby, together with a certificate as to the Person(s) authorized to execute such operative documents, and (ii) evidence as to the legal existence and good standing of Purchaser in the State of _______________.</w:t>
      </w:r>
    </w:p>
    <w:p>
      <w:pPr>
        <w:pStyle w:val="ARTICLE"/>
        <w:numPr>
          <w:ilvl w:val="0"/>
          <w:numId w:val="5"/>
        </w:numPr>
        <w:ind w:hanging="0" w:start="0"/>
        <w:rPr/>
      </w:pPr>
      <w:r>
        <w:rPr/>
        <w:br/>
        <w:t>COVENANTS</w:t>
      </w:r>
      <w:r>
        <w:fldChar w:fldCharType="begin"/>
      </w:r>
      <w:r>
        <w:rPr/>
        <w:instrText xml:space="preserve"> TC "ARTICLE VI</w:instrText>
        <w:tab/>
        <w:instrText xml:space="preserve">COVENANTS" \l 1 </w:instrText>
      </w:r>
      <w:r>
        <w:rPr/>
        <w:fldChar w:fldCharType="separate"/>
      </w:r>
      <w:r>
        <w:rPr/>
      </w:r>
      <w:r>
        <w:rPr/>
        <w:fldChar w:fldCharType="end"/>
      </w:r>
      <w:bookmarkStart w:id="42" w:name="__RefHeading___Toc500080752"/>
      <w:bookmarkEnd w:id="42"/>
    </w:p>
    <w:p>
      <w:pPr>
        <w:pStyle w:val="Heading1"/>
        <w:numPr>
          <w:ilvl w:val="1"/>
          <w:numId w:val="5"/>
        </w:numPr>
        <w:tabs>
          <w:tab w:val="clear" w:pos="720"/>
        </w:tabs>
        <w:ind w:hanging="0" w:start="0"/>
        <w:rPr/>
      </w:pPr>
      <w:r>
        <w:rPr>
          <w:u w:val="single"/>
        </w:rPr>
        <w:t>Confidentiality</w:t>
      </w:r>
      <w:r>
        <w:rPr/>
        <w:t>.</w:t>
      </w:r>
      <w:r>
        <w:fldChar w:fldCharType="begin"/>
      </w:r>
      <w:r>
        <w:rPr/>
        <w:instrText xml:space="preserve"> TC "Section 6.1</w:instrText>
        <w:tab/>
        <w:instrText xml:space="preserve">Confidentiality" \l 2 </w:instrText>
      </w:r>
      <w:r>
        <w:rPr/>
        <w:fldChar w:fldCharType="separate"/>
      </w:r>
      <w:r>
        <w:rPr/>
      </w:r>
      <w:r>
        <w:rPr/>
        <w:fldChar w:fldCharType="end"/>
      </w:r>
      <w:bookmarkStart w:id="43" w:name="__RefHeading___Toc500080753"/>
      <w:bookmarkEnd w:id="43"/>
      <w:r>
        <w:rPr/>
        <w:t xml:space="preserve"> Purchaser and Seller agree that as a result of this Purchase Agreement, certain confidential information of Seller will have been disclosed to Purchaser (the “Confidential Information”).  The confidentiality of the Confidential Information shall be maintained in accordance with the terms of the Non-Disclosure Agreement between Seller and Purchaser dated April 19, 2000, as amended on November 13, 2000 and attached hereto as Exhibit B (the “Confidentiality Agreement”).</w:t>
      </w:r>
    </w:p>
    <w:p>
      <w:pPr>
        <w:pStyle w:val="Heading1"/>
        <w:numPr>
          <w:ilvl w:val="1"/>
          <w:numId w:val="5"/>
        </w:numPr>
        <w:tabs>
          <w:tab w:val="clear" w:pos="720"/>
        </w:tabs>
        <w:ind w:hanging="0" w:start="0"/>
        <w:rPr/>
      </w:pPr>
      <w:r>
        <w:rPr>
          <w:u w:val="single"/>
        </w:rPr>
        <w:t>Project Obligations</w:t>
      </w:r>
      <w:r>
        <w:fldChar w:fldCharType="begin"/>
      </w:r>
      <w:r>
        <w:rPr/>
        <w:instrText xml:space="preserve"> TC "Section 6.2</w:instrText>
        <w:tab/>
        <w:instrText xml:space="preserve">Project Obligations" \l 2 </w:instrText>
      </w:r>
      <w:r>
        <w:rPr/>
        <w:fldChar w:fldCharType="separate"/>
      </w:r>
      <w:r>
        <w:rPr/>
      </w:r>
      <w:r>
        <w:rPr/>
        <w:fldChar w:fldCharType="end"/>
      </w:r>
      <w:bookmarkStart w:id="44" w:name="__RefHeading___Toc500080754"/>
      <w:bookmarkEnd w:id="44"/>
      <w:r>
        <w:rPr/>
        <w:t xml:space="preserve">. Notwithstanding anything stated herein to the contrary, Purchaser shall not, without the prior written consent of Seller exercisable in its sole discretion, (i) enter into any agreement with any third party or seek any authorization or permit, on behalf of the Company or otherwise bind the Company, its assets or properties or (ii) take any action which might reasonably be expected to (A) change or alter the assets of the Project, or (B) change the financial condition of the Company.  Purchaser acknowledges and agrees that Seller shall have no duty or obligation of any kind to take action with respect to the development of the Project.  Furthermore, Purchaser acknowledges and agrees that Seller is not obligated to provide the assets, contracts, agreements, and other requirements necessary for the development or operation of the Project. </w:t>
      </w:r>
    </w:p>
    <w:p>
      <w:pPr>
        <w:pStyle w:val="Heading1"/>
        <w:numPr>
          <w:ilvl w:val="1"/>
          <w:numId w:val="5"/>
        </w:numPr>
        <w:tabs>
          <w:tab w:val="clear" w:pos="720"/>
        </w:tabs>
        <w:ind w:hanging="0" w:start="0"/>
        <w:rPr/>
      </w:pPr>
      <w:r>
        <w:rPr>
          <w:u w:val="single"/>
        </w:rPr>
        <w:t>Conduct of Business</w:t>
      </w:r>
      <w:r>
        <w:fldChar w:fldCharType="begin"/>
      </w:r>
      <w:r>
        <w:rPr/>
        <w:instrText xml:space="preserve"> TC "Section 6.3</w:instrText>
        <w:tab/>
        <w:instrText xml:space="preserve">Conduct of Business" \l 2 </w:instrText>
      </w:r>
      <w:r>
        <w:rPr/>
        <w:fldChar w:fldCharType="separate"/>
      </w:r>
      <w:r>
        <w:rPr/>
      </w:r>
      <w:r>
        <w:rPr/>
        <w:fldChar w:fldCharType="end"/>
      </w:r>
      <w:bookmarkStart w:id="45" w:name="__RefHeading___Toc500080755"/>
      <w:bookmarkEnd w:id="45"/>
      <w:r>
        <w:rPr/>
        <w:t>.  Anything herein to the contrary notwithstanding, prior to the Expiration Date, Seller shall cause (a) the Company to conduct its business in the ordinary course and (b) the Company to not (i) incur any indebtedness (other than accounts and trade payables in the ordinary course of business), (ii) enter into, amend or waive any material right or material benefit under any Kendall Project Document, (iii) amend its organizational documents, (iv) fail to pay or discharge, on a timely basis, any current liabilities, (v) change the accounting principals used to prepare any of their financial statements, (vi) take any action which might reasonably be expected to adversely affect the assets of the Project, or (vii) enter into any agreement or commitment to do any of the foregoing.</w:t>
      </w:r>
    </w:p>
    <w:p>
      <w:pPr>
        <w:pStyle w:val="ARTICLE"/>
        <w:numPr>
          <w:ilvl w:val="0"/>
          <w:numId w:val="5"/>
        </w:numPr>
        <w:ind w:hanging="0" w:start="0"/>
        <w:rPr/>
      </w:pPr>
      <w:r>
        <w:rPr/>
        <w:br/>
        <w:t>MISCELLANEOUS</w:t>
      </w:r>
      <w:r>
        <w:fldChar w:fldCharType="begin"/>
      </w:r>
      <w:r>
        <w:rPr/>
        <w:instrText xml:space="preserve"> TC "ARTICLE VII </w:instrText>
        <w:tab/>
        <w:instrText xml:space="preserve">MISCELLANEOUS" \l 1 </w:instrText>
      </w:r>
      <w:r>
        <w:rPr/>
        <w:fldChar w:fldCharType="separate"/>
      </w:r>
      <w:r>
        <w:rPr/>
      </w:r>
      <w:r>
        <w:rPr/>
        <w:fldChar w:fldCharType="end"/>
      </w:r>
      <w:bookmarkStart w:id="46" w:name="__RefHeading___Toc500080756"/>
      <w:bookmarkEnd w:id="46"/>
    </w:p>
    <w:p>
      <w:pPr>
        <w:pStyle w:val="Heading1"/>
        <w:numPr>
          <w:ilvl w:val="1"/>
          <w:numId w:val="5"/>
        </w:numPr>
        <w:tabs>
          <w:tab w:val="clear" w:pos="720"/>
        </w:tabs>
        <w:ind w:hanging="0" w:start="0"/>
        <w:rPr/>
      </w:pPr>
      <w:r>
        <w:rPr>
          <w:u w:val="single"/>
        </w:rPr>
        <w:t>Indemnification</w:t>
      </w:r>
      <w:r>
        <w:fldChar w:fldCharType="begin"/>
      </w:r>
      <w:r>
        <w:rPr/>
        <w:instrText xml:space="preserve"> TC "Section 7.1</w:instrText>
        <w:tab/>
        <w:instrText xml:space="preserve">Indemnification" \l 2 </w:instrText>
      </w:r>
      <w:r>
        <w:rPr/>
        <w:fldChar w:fldCharType="separate"/>
      </w:r>
      <w:r>
        <w:rPr/>
      </w:r>
      <w:r>
        <w:rPr/>
        <w:fldChar w:fldCharType="end"/>
      </w:r>
      <w:bookmarkStart w:id="47" w:name="__RefHeading___Toc500080757"/>
      <w:bookmarkEnd w:id="47"/>
      <w:r>
        <w:rPr/>
        <w:t>.</w:t>
      </w:r>
    </w:p>
    <w:p>
      <w:pPr>
        <w:pStyle w:val="List"/>
        <w:numPr>
          <w:ilvl w:val="2"/>
          <w:numId w:val="5"/>
        </w:numPr>
        <w:tabs>
          <w:tab w:val="clear" w:pos="720"/>
        </w:tabs>
        <w:ind w:hanging="0" w:start="0"/>
        <w:rPr/>
      </w:pPr>
      <w:r>
        <w:rPr/>
        <w:t>Seller shall indemnify and hold Purchaser, its Affiliates, officers, directors, employees, partners, shareholders, agents, contractors, successors and assigns (collectively, the "Purchaser Related Parties") harmless from and against any damages, losses, deficiencies, costs, expenses, obligations, fines, expenditures, claims and liabilities, including reasonable counsel fees and reasonable expenses of investigation, defending and prosecuting litigation or arbitration (collectively, the "Damages"), suffered by the Purchaser Related Parties as a result of, caused by, arising out of, or relating to any breach by Seller of any representation or warranty, or nonfulfillment of any agreement or covenant, on the part of Seller under this Purchase Agreement or the Assignment of Interest, PROVIDED that: (i) in no event shall the Seller Related Parties (as defined below) be liable to Purchaser Related Parties in an amount exceeding the aggregate amount of cash consideration received by Seller pursuant to the terms hereof from Purchaser at such time, (ii) no Purchaser Related Party shall have any right to make any claim for indemnification hereunder unless such claim shall have been made in writing no later than twelve (12) months after the Expiration Date, and (iii) no claim or claims may be asserted by any Purchaser Related Party unless and until the aggregate amount of Damages of the Purchaser Related Parties exceeds the sum of Fifty Thousand and No/100 US Dollars ($50,000.00) in the aggregate, whereupon Seller shall be liable for indemnity for Damages in excess of the Fifty Thousand and No/100 US Dollar ($50,000.00) threshold.</w:t>
      </w:r>
    </w:p>
    <w:p>
      <w:pPr>
        <w:pStyle w:val="List"/>
        <w:numPr>
          <w:ilvl w:val="2"/>
          <w:numId w:val="5"/>
        </w:numPr>
        <w:tabs>
          <w:tab w:val="clear" w:pos="720"/>
        </w:tabs>
        <w:ind w:hanging="0" w:start="0"/>
        <w:rPr/>
      </w:pPr>
      <w:r>
        <w:rPr/>
        <w:t>Purchaser shall indemnify and hold Seller, its Affiliates, officers, directors, employees, partners, equity holders, agents, employees, contractors, successors and assigns and other representatives (collectively, the "Seller Related Parties") harmless from and against any and all Damages suffered by the Seller Related Parties as a result of, caused by, arising out of, or in any way relating to, (i) the Purchaser Related Parties’ inspection of the Project, (ii) any breach of any representation or warranty, nonfulfillment of any agreement or covenant on the part of Purchaser under this Purchase Agreement or the Assignment of Interest, or (iii) the operation or ownership of the Company or the Project after Closing, PROVIDED that (i) in no event shall the Purchaser Related Parties be liable to the Seller Related Parties in an amount exceeding $3,500,000, (ii) no Seller Related Party shall have any right to make any claim for indemnification hereunder unless such claim shall have been made in writing no later than twelve (12) months after the Closing Date, and (iii) no claim or claims may be asserted by any Seller Related Party unless and until the aggregate amount of Damages of the Seller Related Parties exceeds the sum of Fifty Thousand and No/100 US Dollars ($50,000.00) in the aggregate, whereupon Purchaser shall be liable for indemnity for Damages in excess of the Fifty Thousand and No/100 US Dollar ($50,000.00) threshold.</w:t>
      </w:r>
    </w:p>
    <w:p>
      <w:pPr>
        <w:pStyle w:val="List"/>
        <w:numPr>
          <w:ilvl w:val="2"/>
          <w:numId w:val="5"/>
        </w:numPr>
        <w:tabs>
          <w:tab w:val="clear" w:pos="720"/>
        </w:tabs>
        <w:ind w:hanging="0" w:start="0"/>
        <w:rPr/>
      </w:pPr>
      <w:r>
        <w:rPr/>
        <w:t>The foregoing notwithstanding, under no circumstances shall Seller or Purchaser be liable to each other for consequential, incidental, indirect, punitive, exemplary or special damages (collectively, "Consequential Damages") resulting from any cause whatsoever, whether arising in contract, warranty, tort (including negligence or strict liability) or indemnity.  Furthermore, the Option Consideration and Option Premium are deemed fully earned by Seller upon payment thereof and are not refundable under any circumstances, and Seller has no ongoing performance obligations of any kind with respect thereto.</w:t>
      </w:r>
    </w:p>
    <w:p>
      <w:pPr>
        <w:pStyle w:val="List"/>
        <w:numPr>
          <w:ilvl w:val="2"/>
          <w:numId w:val="5"/>
        </w:numPr>
        <w:tabs>
          <w:tab w:val="clear" w:pos="720"/>
        </w:tabs>
        <w:ind w:hanging="0" w:start="0"/>
        <w:rPr/>
      </w:pPr>
      <w:r>
        <w:rPr/>
        <w:t>Procedure for Indemnification with Respect to Third Party Claims.</w:t>
      </w:r>
    </w:p>
    <w:p>
      <w:pPr>
        <w:pStyle w:val="ListBullet2"/>
        <w:numPr>
          <w:ilvl w:val="3"/>
          <w:numId w:val="5"/>
        </w:numPr>
        <w:ind w:hanging="0" w:start="0"/>
        <w:rPr/>
      </w:pPr>
      <w:r>
        <w:rPr/>
        <w:t>Notice of Claim.  If any legal proceedings shall be instituted or any claim or demand shall be asserted by any third party in respect of which indemnification may be sought by any party or parties from any other party or parties under the provisions of this Section 7.1, the party or parties seeking indemnification (collectively, the “Indemnitee”) shall, within forty-five (45) days of the receipt thereof, cause written notice of the legal proceedings or the assertion of any claim or demand of which it has knowledge that is covered by the indemnity under this Section 7.1 to be forwarded to the party or parties from which indemnification is sought (collectively, the “Indemnitor”) specifying the nature of and specific basis for such legal proceedings, claim or demand and the amount or the estimated amount thereof to the extent then feasible, which estimate shall not be binding upon the Indemnitee, in its effort to collect the final amount arising out of such legal proceedings, claim or demand; provided, that the failure of an Indemnitee to give timely notice shall not affect rights to indemnification under this Section except to the extent that the Indemnitor has been damaged by such failure.</w:t>
      </w:r>
    </w:p>
    <w:p>
      <w:pPr>
        <w:pStyle w:val="ListBullet2"/>
        <w:numPr>
          <w:ilvl w:val="3"/>
          <w:numId w:val="5"/>
        </w:numPr>
        <w:ind w:hanging="0" w:start="0"/>
        <w:rPr>
          <w:b/>
        </w:rPr>
      </w:pPr>
      <w:r>
        <w:rPr/>
        <w:t>Conduct of Claim.  The Indemnitor shall have the right, at its option and at its own expense, to be represented by counsel of its choice and to participate in, or to take exclusive control of, the defense, negotiation and/or settlement of any proceeding, claim or demand which relates to any amounts indemnifiable or probably indemnifiable under this Section 7.1; provided, however, that the Indemnitee may participate in any such proceeding with counsel of its choice, which shall be at its own expense, unless (i) the Indemnitor chooses counsel not reasonably acceptable to the Indemnitee, or (ii) the Indemnitor does not pursue with reasonable diligence such defense, negotiation or settlement.  The Indemnitee shall have a right to notice of any settlement, and the Indemnitor shall not execute or otherwise agree to any consent decree which provides for other than monetary payment without the Indemnitee’s prior written consent, which consent shall not be unreasonably withheld, conditioned or delayed.  Notwithstanding the foregoing, the Indemnitee shall have the right to pay or settle any such claim, provided that in such event it shall waive any right to indemnity therefore by the Indemnitor.  If the Indemnitor elects not to defend or settle such proceeding, claim or demand and the Indemnitee defends, settles or otherwise deals with any such proceeding, claim or demand, which settlement may be without the consent of the Indemnitor, the Indemnitee shall provide fifteen (15) days’ advance written notice of any proposed settlement to the Indemnitor and shall act reasonably and in accordance with its good faith business judgment.  The parties shall cooperate fully with each other in connection with the defense, negotiation or settlement of any such legal proceeding, claim or demand.  In all instances, the provisions of this Section 7.1(d) shall be subject to the limitations set forth in Section 7.1(a), (b) and (c).</w:t>
      </w:r>
    </w:p>
    <w:p>
      <w:pPr>
        <w:pStyle w:val="Heading1"/>
        <w:numPr>
          <w:ilvl w:val="1"/>
          <w:numId w:val="5"/>
        </w:numPr>
        <w:tabs>
          <w:tab w:val="clear" w:pos="720"/>
        </w:tabs>
        <w:ind w:hanging="0" w:start="0"/>
        <w:rPr/>
      </w:pPr>
      <w:r>
        <w:rPr>
          <w:u w:val="single"/>
        </w:rPr>
        <w:t>Termination</w:t>
      </w:r>
      <w:r>
        <w:rPr/>
        <w:t>.</w:t>
      </w:r>
      <w:r>
        <w:fldChar w:fldCharType="begin"/>
      </w:r>
      <w:r>
        <w:rPr/>
        <w:instrText xml:space="preserve"> TC "Section 7.2</w:instrText>
        <w:tab/>
        <w:instrText xml:space="preserve">Termination" \l 2 </w:instrText>
      </w:r>
      <w:r>
        <w:rPr/>
        <w:fldChar w:fldCharType="separate"/>
      </w:r>
      <w:r>
        <w:rPr/>
      </w:r>
      <w:r>
        <w:rPr/>
        <w:fldChar w:fldCharType="end"/>
      </w:r>
      <w:bookmarkStart w:id="48" w:name="__RefHeading___Toc500080758"/>
      <w:bookmarkEnd w:id="48"/>
      <w:r>
        <w:rPr/>
        <w:tab/>
        <w:t>This Purchase Agreement shall terminate:</w:t>
      </w:r>
    </w:p>
    <w:p>
      <w:pPr>
        <w:pStyle w:val="List"/>
        <w:numPr>
          <w:ilvl w:val="2"/>
          <w:numId w:val="5"/>
        </w:numPr>
        <w:tabs>
          <w:tab w:val="clear" w:pos="720"/>
        </w:tabs>
        <w:ind w:hanging="0" w:start="0"/>
        <w:rPr/>
      </w:pPr>
      <w:r>
        <w:rPr/>
        <w:t>Automatically on the day following the Expiration Date;</w:t>
      </w:r>
    </w:p>
    <w:p>
      <w:pPr>
        <w:pStyle w:val="List"/>
        <w:numPr>
          <w:ilvl w:val="2"/>
          <w:numId w:val="5"/>
        </w:numPr>
        <w:tabs>
          <w:tab w:val="clear" w:pos="720"/>
        </w:tabs>
        <w:ind w:hanging="0" w:start="0"/>
        <w:rPr/>
      </w:pPr>
      <w:r>
        <w:rPr/>
        <w:t>by Seller in the event that any material default by Purchaser arising out of the Purchase Agreement remains uncured for a period of thirty (30) days following written notice by Seller to Purchaser detailing such default, provided the default has not been cured within such thirty (30) day period; or</w:t>
      </w:r>
    </w:p>
    <w:p>
      <w:pPr>
        <w:pStyle w:val="List"/>
        <w:numPr>
          <w:ilvl w:val="2"/>
          <w:numId w:val="5"/>
        </w:numPr>
        <w:tabs>
          <w:tab w:val="clear" w:pos="720"/>
        </w:tabs>
        <w:ind w:hanging="0" w:start="0"/>
        <w:rPr/>
      </w:pPr>
      <w:r>
        <w:rPr/>
        <w:t>by Purchaser in the event that any material default by Seller arising out of the Purchase Agreement remains uncured for a period of thirty (30) days following written notice by Purchaser to Seller detailing such default, provided the default has not been cured within such thirty (30) day period.</w:t>
      </w:r>
    </w:p>
    <w:p>
      <w:pPr>
        <w:pStyle w:val="Heading1"/>
        <w:numPr>
          <w:ilvl w:val="1"/>
          <w:numId w:val="5"/>
        </w:numPr>
        <w:tabs>
          <w:tab w:val="clear" w:pos="720"/>
        </w:tabs>
        <w:ind w:hanging="0" w:start="0"/>
        <w:rPr/>
      </w:pPr>
      <w:r>
        <w:rPr>
          <w:u w:val="single"/>
        </w:rPr>
        <w:t>No Waiver; Modifications in Writing</w:t>
      </w:r>
      <w:r>
        <w:fldChar w:fldCharType="begin"/>
      </w:r>
      <w:r>
        <w:rPr/>
        <w:instrText xml:space="preserve"> TC "Section 7.3</w:instrText>
        <w:tab/>
        <w:instrText xml:space="preserve">No Waiver; Modifications in Writing" \l 2 </w:instrText>
      </w:r>
      <w:r>
        <w:rPr/>
        <w:fldChar w:fldCharType="separate"/>
      </w:r>
      <w:r>
        <w:rPr/>
      </w:r>
      <w:r>
        <w:rPr/>
        <w:fldChar w:fldCharType="end"/>
      </w:r>
      <w:bookmarkStart w:id="49" w:name="__RefHeading___Toc500080759"/>
      <w:bookmarkEnd w:id="49"/>
      <w:r>
        <w:rPr/>
        <w:t xml:space="preserve">.  No failure or delay on the part of Seller or Purchaser in exercising any right, power or remedy hereunder shall operate as a waiver thereof, nor shall any single or partial exercise of any such right, power or remedy preclude any other or further exercise thereof or the exercise of any other right, power or remedy.  Notwithstanding anything stated herein to the contrary, the remedies provided for herein are the sole and exclusive remedies available to Seller or Purchaser as a result of, caused by, arising out of, or in any way relating to any breach of any representation or warranty, or nonfulfillment of any agreement or covenant on the part of either party under this Purchase Agreement and Seller and Purchaser hereby waive any other remedies at law or in equity or otherwise. Except as otherwise provided herein, no amendment, waiver, consent, modification or termination of any provision of this Purchase Agreement shall be effective unless signed by Seller and Purchaser.  Any amendment, supplement or modification of or to any provision of this Purchase Agreement, any waiver of any provision of this Purchase Agreement, and any consent to any departure by the  from the terms of any provision of this Purchase Agreement, shall be effective only in the specific instance and for the specific purpose for which made or given. </w:t>
      </w:r>
    </w:p>
    <w:p>
      <w:pPr>
        <w:pStyle w:val="Heading1"/>
        <w:numPr>
          <w:ilvl w:val="1"/>
          <w:numId w:val="5"/>
        </w:numPr>
        <w:tabs>
          <w:tab w:val="clear" w:pos="720"/>
        </w:tabs>
        <w:ind w:hanging="0" w:start="0"/>
        <w:rPr/>
      </w:pPr>
      <w:r>
        <w:rPr>
          <w:u w:val="single"/>
        </w:rPr>
        <w:t>Communications</w:t>
      </w:r>
      <w:r>
        <w:fldChar w:fldCharType="begin"/>
      </w:r>
      <w:r>
        <w:rPr/>
        <w:instrText xml:space="preserve"> TC "Section 7.4</w:instrText>
        <w:tab/>
        <w:instrText xml:space="preserve">Communications" \l 2 </w:instrText>
      </w:r>
      <w:r>
        <w:rPr/>
        <w:fldChar w:fldCharType="separate"/>
      </w:r>
      <w:r>
        <w:rPr/>
      </w:r>
      <w:r>
        <w:rPr/>
        <w:fldChar w:fldCharType="end"/>
      </w:r>
      <w:bookmarkStart w:id="50" w:name="__RefHeading___Toc500080760"/>
      <w:bookmarkEnd w:id="50"/>
      <w:r>
        <w:rPr/>
        <w:t>.  All notices and demands provided for hereunder shall be in writing, and shall be given by telecopy (confirmed by overnight courier), air courier guaranteeing overnight delivery or personal delivery.  Notice shall be sent to the following addresses:</w:t>
      </w:r>
    </w:p>
    <w:p>
      <w:pPr>
        <w:pStyle w:val="Normal"/>
        <w:keepNext w:val="true"/>
        <w:ind w:firstLine="720" w:end="0"/>
        <w:rPr/>
      </w:pPr>
      <w:r>
        <w:rPr/>
        <w:t>If to Purchaser:</w:t>
      </w:r>
    </w:p>
    <w:p>
      <w:pPr>
        <w:pStyle w:val="Normal"/>
        <w:keepNext w:val="true"/>
        <w:rPr/>
      </w:pPr>
      <w:r>
        <w:rPr/>
      </w:r>
    </w:p>
    <w:p>
      <w:pPr>
        <w:pStyle w:val="Normal"/>
        <w:keepNext w:val="true"/>
        <w:numPr>
          <w:ilvl w:val="0"/>
          <w:numId w:val="0"/>
        </w:numPr>
        <w:ind w:firstLine="720" w:end="0"/>
        <w:outlineLvl w:val="0"/>
        <w:rPr/>
      </w:pPr>
      <w:r>
        <w:rPr/>
        <w:t>Coastal Power Company</w:t>
      </w:r>
    </w:p>
    <w:p>
      <w:pPr>
        <w:pStyle w:val="Normal"/>
        <w:keepNext w:val="true"/>
        <w:numPr>
          <w:ilvl w:val="0"/>
          <w:numId w:val="0"/>
        </w:numPr>
        <w:ind w:firstLine="720" w:end="0"/>
        <w:outlineLvl w:val="0"/>
        <w:rPr/>
      </w:pPr>
      <w:r>
        <w:rPr/>
        <w:t>Coastal Tower – Nine Greenway Plaza</w:t>
      </w:r>
    </w:p>
    <w:p>
      <w:pPr>
        <w:pStyle w:val="Normal"/>
        <w:keepNext w:val="true"/>
        <w:numPr>
          <w:ilvl w:val="0"/>
          <w:numId w:val="0"/>
        </w:numPr>
        <w:ind w:firstLine="720" w:end="0"/>
        <w:outlineLvl w:val="0"/>
        <w:rPr/>
      </w:pPr>
      <w:r>
        <w:rPr/>
        <w:t>Houston, Texas 77046-0995</w:t>
      </w:r>
    </w:p>
    <w:p>
      <w:pPr>
        <w:pStyle w:val="Normal"/>
        <w:keepNext w:val="true"/>
        <w:numPr>
          <w:ilvl w:val="0"/>
          <w:numId w:val="0"/>
        </w:numPr>
        <w:ind w:firstLine="720" w:end="0"/>
        <w:outlineLvl w:val="0"/>
        <w:rPr/>
      </w:pPr>
      <w:r>
        <w:rPr/>
        <w:t>Attention:  _________________</w:t>
      </w:r>
    </w:p>
    <w:p>
      <w:pPr>
        <w:pStyle w:val="Normal"/>
        <w:keepNext w:val="true"/>
        <w:ind w:firstLine="720" w:end="0"/>
        <w:rPr/>
      </w:pPr>
      <w:r>
        <w:rPr/>
        <w:t>Telecopier: ______________</w:t>
      </w:r>
    </w:p>
    <w:p>
      <w:pPr>
        <w:pStyle w:val="Normal"/>
        <w:keepNext w:val="true"/>
        <w:ind w:firstLine="720" w:end="0"/>
        <w:rPr/>
      </w:pPr>
      <w:r>
        <w:rPr/>
      </w:r>
    </w:p>
    <w:p>
      <w:pPr>
        <w:pStyle w:val="Normal"/>
        <w:keepNext w:val="true"/>
        <w:ind w:firstLine="720" w:end="0"/>
        <w:rPr/>
      </w:pPr>
      <w:r>
        <w:rPr/>
        <w:t>with a copy to:</w:t>
      </w:r>
    </w:p>
    <w:p>
      <w:pPr>
        <w:pStyle w:val="Normal"/>
        <w:keepNext w:val="true"/>
        <w:ind w:firstLine="720" w:end="0"/>
        <w:rPr/>
      </w:pPr>
      <w:r>
        <w:rPr/>
      </w:r>
    </w:p>
    <w:p>
      <w:pPr>
        <w:pStyle w:val="Normal"/>
        <w:keepNext w:val="true"/>
        <w:numPr>
          <w:ilvl w:val="0"/>
          <w:numId w:val="0"/>
        </w:numPr>
        <w:ind w:firstLine="720" w:end="0"/>
        <w:outlineLvl w:val="0"/>
        <w:rPr/>
      </w:pPr>
      <w:r>
        <w:rPr/>
        <w:t>_______________________</w:t>
      </w:r>
    </w:p>
    <w:p>
      <w:pPr>
        <w:pStyle w:val="Normal"/>
        <w:keepNext w:val="true"/>
        <w:numPr>
          <w:ilvl w:val="0"/>
          <w:numId w:val="0"/>
        </w:numPr>
        <w:ind w:firstLine="720" w:end="0"/>
        <w:outlineLvl w:val="0"/>
        <w:rPr/>
      </w:pPr>
      <w:r>
        <w:rPr/>
        <w:t>_______________________</w:t>
      </w:r>
    </w:p>
    <w:p>
      <w:pPr>
        <w:pStyle w:val="Normal"/>
        <w:keepNext w:val="true"/>
        <w:numPr>
          <w:ilvl w:val="0"/>
          <w:numId w:val="0"/>
        </w:numPr>
        <w:ind w:firstLine="720" w:end="0"/>
        <w:outlineLvl w:val="0"/>
        <w:rPr/>
      </w:pPr>
      <w:r>
        <w:rPr/>
        <w:t>_______________________</w:t>
      </w:r>
    </w:p>
    <w:p>
      <w:pPr>
        <w:pStyle w:val="Normal"/>
        <w:keepNext w:val="true"/>
        <w:numPr>
          <w:ilvl w:val="0"/>
          <w:numId w:val="0"/>
        </w:numPr>
        <w:ind w:firstLine="720" w:end="0"/>
        <w:outlineLvl w:val="0"/>
        <w:rPr/>
      </w:pPr>
      <w:r>
        <w:rPr/>
        <w:t>_______________________</w:t>
      </w:r>
    </w:p>
    <w:p>
      <w:pPr>
        <w:pStyle w:val="Normal"/>
        <w:keepNext w:val="true"/>
        <w:numPr>
          <w:ilvl w:val="0"/>
          <w:numId w:val="0"/>
        </w:numPr>
        <w:ind w:firstLine="720" w:end="0"/>
        <w:outlineLvl w:val="0"/>
        <w:rPr/>
      </w:pPr>
      <w:r>
        <w:rPr/>
        <w:t>Attention:  ______________</w:t>
      </w:r>
    </w:p>
    <w:p>
      <w:pPr>
        <w:pStyle w:val="Normal"/>
        <w:keepNext w:val="true"/>
        <w:ind w:firstLine="720" w:end="0"/>
        <w:rPr/>
      </w:pPr>
      <w:r>
        <w:rPr/>
        <w:t>Telecopier: ______________</w:t>
      </w:r>
    </w:p>
    <w:p>
      <w:pPr>
        <w:pStyle w:val="Normal"/>
        <w:keepNext w:val="true"/>
        <w:keepLines/>
        <w:ind w:firstLine="720" w:end="0"/>
        <w:rPr/>
      </w:pPr>
      <w:r>
        <w:rPr/>
      </w:r>
    </w:p>
    <w:p>
      <w:pPr>
        <w:pStyle w:val="Normal"/>
        <w:keepNext w:val="true"/>
        <w:ind w:firstLine="720" w:end="0"/>
        <w:rPr/>
      </w:pPr>
      <w:r>
        <w:rPr/>
        <w:t>and, if to Seller:</w:t>
      </w:r>
    </w:p>
    <w:p>
      <w:pPr>
        <w:pStyle w:val="Normal"/>
        <w:keepNext w:val="true"/>
        <w:ind w:firstLine="720" w:end="0"/>
        <w:rPr/>
      </w:pPr>
      <w:r>
        <w:rPr/>
      </w:r>
    </w:p>
    <w:p>
      <w:pPr>
        <w:pStyle w:val="BodyTextFirstIndent"/>
        <w:keepNext w:val="true"/>
        <w:spacing w:before="0" w:after="0"/>
        <w:rPr/>
      </w:pPr>
      <w:r>
        <w:rPr/>
        <w:t>Enron North America Corp.</w:t>
      </w:r>
    </w:p>
    <w:p>
      <w:pPr>
        <w:pStyle w:val="Normal"/>
        <w:keepNext w:val="true"/>
        <w:ind w:firstLine="720" w:end="0"/>
        <w:rPr/>
      </w:pPr>
      <w:r>
        <w:rPr/>
        <w:t>1400 Smith Street, EB 2964D</w:t>
      </w:r>
    </w:p>
    <w:p>
      <w:pPr>
        <w:pStyle w:val="Normal"/>
        <w:keepNext w:val="true"/>
        <w:ind w:firstLine="720" w:end="0"/>
        <w:rPr/>
      </w:pPr>
      <w:r>
        <w:rPr/>
        <w:t>Houston, Texas  77002-7361</w:t>
      </w:r>
    </w:p>
    <w:p>
      <w:pPr>
        <w:pStyle w:val="Normal"/>
        <w:keepNext w:val="true"/>
        <w:ind w:firstLine="720" w:end="0"/>
        <w:rPr/>
      </w:pPr>
      <w:r>
        <w:rPr/>
        <w:t>Attention:  Rusty Stevens EB 2949d</w:t>
      </w:r>
    </w:p>
    <w:p>
      <w:pPr>
        <w:pStyle w:val="Normal"/>
        <w:keepNext w:val="true"/>
        <w:keepLines/>
        <w:ind w:firstLine="720" w:end="0"/>
        <w:rPr/>
      </w:pPr>
      <w:r>
        <w:rPr/>
        <w:t>Telecopier: (713) 646-3037</w:t>
      </w:r>
    </w:p>
    <w:p>
      <w:pPr>
        <w:pStyle w:val="Normal"/>
        <w:keepLines/>
        <w:ind w:firstLine="720" w:end="0"/>
        <w:rPr/>
      </w:pPr>
      <w:r>
        <w:rPr/>
      </w:r>
    </w:p>
    <w:p>
      <w:pPr>
        <w:pStyle w:val="Normal"/>
        <w:keepNext w:val="true"/>
        <w:ind w:firstLine="720" w:end="0"/>
        <w:rPr/>
      </w:pPr>
      <w:r>
        <w:rPr/>
        <w:t xml:space="preserve">And </w:t>
      </w:r>
    </w:p>
    <w:p>
      <w:pPr>
        <w:pStyle w:val="Normal"/>
        <w:keepNext w:val="true"/>
        <w:ind w:firstLine="720" w:end="0"/>
        <w:rPr/>
      </w:pPr>
      <w:r>
        <w:rPr/>
      </w:r>
    </w:p>
    <w:p>
      <w:pPr>
        <w:pStyle w:val="BodyTextFirstIndent"/>
        <w:keepNext w:val="true"/>
        <w:spacing w:before="0" w:after="0"/>
        <w:rPr/>
      </w:pPr>
      <w:r>
        <w:rPr/>
        <w:t>Enron North America Corp.</w:t>
      </w:r>
    </w:p>
    <w:p>
      <w:pPr>
        <w:pStyle w:val="Normal"/>
        <w:keepNext w:val="true"/>
        <w:ind w:firstLine="720" w:end="0"/>
        <w:rPr/>
      </w:pPr>
      <w:r>
        <w:rPr/>
        <w:t>1400 Smith Street, EB 2964D</w:t>
      </w:r>
    </w:p>
    <w:p>
      <w:pPr>
        <w:pStyle w:val="Normal"/>
        <w:keepNext w:val="true"/>
        <w:ind w:firstLine="720" w:end="0"/>
        <w:rPr/>
      </w:pPr>
      <w:r>
        <w:rPr/>
        <w:t>Houston, Texas  77002-7361</w:t>
      </w:r>
    </w:p>
    <w:p>
      <w:pPr>
        <w:pStyle w:val="Normal"/>
        <w:keepNext w:val="true"/>
        <w:ind w:firstLine="720" w:end="0"/>
        <w:rPr/>
      </w:pPr>
      <w:r>
        <w:rPr/>
        <w:t>Attention:  Fred Mitro EB 3149a</w:t>
      </w:r>
    </w:p>
    <w:p>
      <w:pPr>
        <w:pStyle w:val="Normal"/>
        <w:keepNext w:val="true"/>
        <w:keepLines/>
        <w:ind w:firstLine="720" w:end="0"/>
        <w:rPr/>
      </w:pPr>
      <w:r>
        <w:rPr/>
        <w:t>Telecopier: (713) 646-3037</w:t>
      </w:r>
    </w:p>
    <w:p>
      <w:pPr>
        <w:pStyle w:val="Normal"/>
        <w:keepNext w:val="true"/>
        <w:ind w:firstLine="720" w:end="0"/>
        <w:rPr/>
      </w:pPr>
      <w:r>
        <w:rPr/>
      </w:r>
    </w:p>
    <w:p>
      <w:pPr>
        <w:pStyle w:val="Normal"/>
        <w:keepNext w:val="true"/>
        <w:ind w:firstLine="720" w:end="0"/>
        <w:rPr/>
      </w:pPr>
      <w:r>
        <w:rPr/>
        <w:t>With a copy to:</w:t>
      </w:r>
    </w:p>
    <w:p>
      <w:pPr>
        <w:pStyle w:val="Normal"/>
        <w:keepNext w:val="true"/>
        <w:rPr/>
      </w:pPr>
      <w:r>
        <w:rPr/>
      </w:r>
    </w:p>
    <w:p>
      <w:pPr>
        <w:pStyle w:val="BodyTextFirstIndent"/>
        <w:keepNext w:val="true"/>
        <w:spacing w:before="0" w:after="0"/>
        <w:rPr/>
      </w:pPr>
      <w:r>
        <w:rPr/>
        <w:t>Enron North America Corp.</w:t>
      </w:r>
    </w:p>
    <w:p>
      <w:pPr>
        <w:pStyle w:val="Normal"/>
        <w:keepNext w:val="true"/>
        <w:ind w:firstLine="720" w:end="0"/>
        <w:rPr/>
      </w:pPr>
      <w:r>
        <w:rPr/>
        <w:t>1400 Smith Street, EB ____</w:t>
      </w:r>
    </w:p>
    <w:p>
      <w:pPr>
        <w:pStyle w:val="Normal"/>
        <w:keepNext w:val="true"/>
        <w:ind w:firstLine="720" w:end="0"/>
        <w:rPr/>
      </w:pPr>
      <w:r>
        <w:rPr/>
        <w:t>Houston, Texas  77002</w:t>
      </w:r>
    </w:p>
    <w:p>
      <w:pPr>
        <w:pStyle w:val="Normal"/>
        <w:keepNext w:val="true"/>
        <w:numPr>
          <w:ilvl w:val="0"/>
          <w:numId w:val="0"/>
        </w:numPr>
        <w:ind w:firstLine="720" w:end="0"/>
        <w:outlineLvl w:val="0"/>
        <w:rPr/>
      </w:pPr>
      <w:r>
        <w:rPr/>
        <w:t>Attention:  ______________</w:t>
      </w:r>
    </w:p>
    <w:p>
      <w:pPr>
        <w:pStyle w:val="Normal"/>
        <w:keepNext w:val="true"/>
        <w:ind w:firstLine="720" w:end="0"/>
        <w:rPr/>
      </w:pPr>
      <w:r>
        <w:rPr/>
        <w:t>Telecopier:  (713) ________</w:t>
      </w:r>
    </w:p>
    <w:p>
      <w:pPr>
        <w:pStyle w:val="Normal"/>
        <w:rPr/>
      </w:pPr>
      <w:r>
        <w:rPr/>
      </w:r>
    </w:p>
    <w:p>
      <w:pPr>
        <w:pStyle w:val="Normal"/>
        <w:rPr/>
      </w:pPr>
      <w:r>
        <w:rPr/>
        <w:t>or to such other address as Seller or Purchaser may designate in writing.  All such notices and communications and all notices and communications shall be deemed to have been duly given:  at the time delivered by hand, if personally delivered; when receipt acknowledged, if telecopied; and on the next Business Day if timely delivered to an air courier guaranteeing overnight delivery.</w:t>
      </w:r>
    </w:p>
    <w:p>
      <w:pPr>
        <w:pStyle w:val="Normal"/>
        <w:rPr/>
      </w:pPr>
      <w:r>
        <w:rPr/>
      </w:r>
    </w:p>
    <w:p>
      <w:pPr>
        <w:pStyle w:val="Heading1"/>
        <w:numPr>
          <w:ilvl w:val="1"/>
          <w:numId w:val="5"/>
        </w:numPr>
        <w:tabs>
          <w:tab w:val="clear" w:pos="720"/>
        </w:tabs>
        <w:ind w:hanging="0" w:start="0"/>
        <w:rPr/>
      </w:pPr>
      <w:r>
        <w:rPr>
          <w:u w:val="single"/>
        </w:rPr>
        <w:t>Costs, Expenses and Taxes</w:t>
      </w:r>
      <w:r>
        <w:fldChar w:fldCharType="begin"/>
      </w:r>
      <w:r>
        <w:rPr/>
        <w:instrText xml:space="preserve"> TC "Section 7.5</w:instrText>
        <w:tab/>
        <w:instrText xml:space="preserve">Costs, Expenses and Taxes" \l 2 </w:instrText>
      </w:r>
      <w:r>
        <w:rPr/>
        <w:fldChar w:fldCharType="separate"/>
      </w:r>
      <w:r>
        <w:rPr/>
      </w:r>
      <w:r>
        <w:rPr/>
        <w:fldChar w:fldCharType="end"/>
      </w:r>
      <w:bookmarkStart w:id="51" w:name="__RefHeading___Toc500080761"/>
      <w:bookmarkEnd w:id="51"/>
      <w:r>
        <w:rPr/>
        <w:t>.  Each party shall be responsible for its own expenses associated with the transactions contemplated by this Purchase Agreement.</w:t>
      </w:r>
    </w:p>
    <w:p>
      <w:pPr>
        <w:pStyle w:val="Heading1"/>
        <w:numPr>
          <w:ilvl w:val="1"/>
          <w:numId w:val="5"/>
        </w:numPr>
        <w:tabs>
          <w:tab w:val="clear" w:pos="720"/>
        </w:tabs>
        <w:ind w:hanging="0" w:start="0"/>
        <w:rPr/>
      </w:pPr>
      <w:r>
        <w:rPr>
          <w:u w:val="single"/>
        </w:rPr>
        <w:t>Execution in Counterparts</w:t>
      </w:r>
      <w:r>
        <w:fldChar w:fldCharType="begin"/>
      </w:r>
      <w:r>
        <w:rPr/>
        <w:instrText xml:space="preserve"> TC "Section 7.6</w:instrText>
        <w:tab/>
        <w:instrText xml:space="preserve">Execution in Counterparts" \l 2 </w:instrText>
      </w:r>
      <w:r>
        <w:rPr/>
        <w:fldChar w:fldCharType="separate"/>
      </w:r>
      <w:r>
        <w:rPr/>
      </w:r>
      <w:r>
        <w:rPr/>
        <w:fldChar w:fldCharType="end"/>
      </w:r>
      <w:bookmarkStart w:id="52" w:name="__RefHeading___Toc500080762"/>
      <w:bookmarkEnd w:id="52"/>
      <w:r>
        <w:rPr/>
        <w:t>. This Purchase Agreement may be executed in any number of counterparts and by different parties hereto in separate counterparts, each of which counterparts, when so executed and delivered, shall be deemed to be an original and all of which counterparts, taken together, shall constitute but one and the same Purchase Agreement.</w:t>
      </w:r>
    </w:p>
    <w:p>
      <w:pPr>
        <w:pStyle w:val="Heading1"/>
        <w:numPr>
          <w:ilvl w:val="1"/>
          <w:numId w:val="5"/>
        </w:numPr>
        <w:tabs>
          <w:tab w:val="clear" w:pos="720"/>
        </w:tabs>
        <w:ind w:hanging="0" w:start="0"/>
        <w:rPr/>
      </w:pPr>
      <w:r>
        <w:rPr>
          <w:u w:val="single"/>
        </w:rPr>
        <w:t>Binding Effect; Assignment</w:t>
      </w:r>
      <w:r>
        <w:fldChar w:fldCharType="begin"/>
      </w:r>
      <w:r>
        <w:rPr/>
        <w:instrText xml:space="preserve"> TC "Section 7.7</w:instrText>
        <w:tab/>
        <w:instrText xml:space="preserve">Binding Effect; Assignment" \l 2 </w:instrText>
      </w:r>
      <w:r>
        <w:rPr/>
        <w:fldChar w:fldCharType="separate"/>
      </w:r>
      <w:r>
        <w:rPr/>
      </w:r>
      <w:r>
        <w:rPr/>
        <w:fldChar w:fldCharType="end"/>
      </w:r>
      <w:bookmarkStart w:id="53" w:name="__RefHeading___Toc500080763"/>
      <w:bookmarkEnd w:id="53"/>
      <w:r>
        <w:rPr/>
        <w:t>.  This Purchase Agreement shall be binding upon Seller and Purchaser, and their respective successors and permitted assigns.  Except as expressly provided in this Purchase Agreement, this Purchase Agreement shall not be construed so as to confer any right or benefit upon any Person other than the parties to this Purchase Agreement, and their respective successors and permitted assigns.  Seller may not assign its rights and obligations under this Purchase Agreement to any other Person other than an Affiliate of Seller without the prior written consent of the other party.  Purchaser may not assign any or all of its rights, privileges and obligations hereunder to any other Person other than an Affiliate of Purchaser without the prior written consent of Seller. No assignment by either party shall operate to relieve such assigning party of any of its obligations hereunder.</w:t>
      </w:r>
    </w:p>
    <w:p>
      <w:pPr>
        <w:pStyle w:val="Heading1"/>
        <w:numPr>
          <w:ilvl w:val="1"/>
          <w:numId w:val="5"/>
        </w:numPr>
        <w:tabs>
          <w:tab w:val="clear" w:pos="720"/>
        </w:tabs>
        <w:ind w:hanging="0" w:start="0"/>
        <w:rPr/>
      </w:pPr>
      <w:r>
        <w:rPr>
          <w:u w:val="single"/>
        </w:rPr>
        <w:t>Entire Agreement</w:t>
      </w:r>
      <w:r>
        <w:fldChar w:fldCharType="begin"/>
      </w:r>
      <w:r>
        <w:rPr/>
        <w:instrText xml:space="preserve"> TC "Section 7.8</w:instrText>
        <w:tab/>
        <w:instrText xml:space="preserve">Entire Agreement" \l 2 </w:instrText>
      </w:r>
      <w:r>
        <w:rPr/>
        <w:fldChar w:fldCharType="separate"/>
      </w:r>
      <w:r>
        <w:rPr/>
      </w:r>
      <w:r>
        <w:rPr/>
        <w:fldChar w:fldCharType="end"/>
      </w:r>
      <w:bookmarkStart w:id="54" w:name="__RefHeading___Toc500080764"/>
      <w:bookmarkEnd w:id="54"/>
      <w:r>
        <w:rPr/>
        <w:t xml:space="preserve">.  This Purchase Agreement (together with the Confidentiality Agreement) constitutes the entire agreement and understanding between Seller and Purchaser related to the subject matter hereof and supersedes any prior agreement, document  or understanding related to the subject matter hereof.  </w:t>
      </w:r>
    </w:p>
    <w:p>
      <w:pPr>
        <w:pStyle w:val="Heading1"/>
        <w:numPr>
          <w:ilvl w:val="1"/>
          <w:numId w:val="5"/>
        </w:numPr>
        <w:tabs>
          <w:tab w:val="clear" w:pos="720"/>
        </w:tabs>
        <w:ind w:hanging="0" w:start="0"/>
        <w:rPr/>
      </w:pPr>
      <w:r>
        <w:rPr>
          <w:u w:val="single"/>
        </w:rPr>
        <w:t>Due Diligence; Competitive Activities</w:t>
      </w:r>
      <w:r>
        <w:rPr/>
        <w:t>.</w:t>
      </w:r>
      <w:r>
        <w:fldChar w:fldCharType="begin"/>
      </w:r>
      <w:r>
        <w:rPr/>
        <w:instrText xml:space="preserve"> TC "Section 7.9</w:instrText>
        <w:tab/>
        <w:instrText xml:space="preserve">Due Diligence; Competitive Activities" \l 2 </w:instrText>
      </w:r>
      <w:r>
        <w:rPr/>
        <w:fldChar w:fldCharType="separate"/>
      </w:r>
      <w:r>
        <w:rPr/>
      </w:r>
      <w:r>
        <w:rPr/>
        <w:fldChar w:fldCharType="end"/>
      </w:r>
      <w:bookmarkStart w:id="55" w:name="__RefHeading___Toc500080765"/>
      <w:bookmarkEnd w:id="55"/>
      <w:r>
        <w:rPr/>
        <w:t xml:space="preserve"> </w:t>
      </w:r>
    </w:p>
    <w:p>
      <w:pPr>
        <w:pStyle w:val="List"/>
        <w:numPr>
          <w:ilvl w:val="2"/>
          <w:numId w:val="5"/>
        </w:numPr>
        <w:tabs>
          <w:tab w:val="clear" w:pos="720"/>
        </w:tabs>
        <w:ind w:hanging="0" w:start="0"/>
        <w:rPr/>
      </w:pPr>
      <w:r>
        <w:rPr/>
        <w:t>NOTWITHSTANDING ANYTHING STATED IN THIS PURCHASE AGREEMENT TO THE CONTRARY, PURCHASER AGREES THAT (A) SELLER RELATED PARTIES HAVE MADE NO REPRESENTATIONS, WARRANTIES, COVENANTS OR AGREEMENTS TO OR WITH PURCHASER RELATED PARTIES RELATING TO THE TRANSACTIONS CONTEMPLATED HEREBY, OTHER THAN THOSE EXPRESSLY SET FORTH IN THIS PURCHASE AGREEMENT AND (B) PURCHASER RELATED PARTIES HAVE NOT RELIED UPON ANY REPRESENTATIONS, WARRANTIES, COVENANTS OR AGREEMENTS RELATING TO THE TRANSACTIONS CONTEMPLATED HEREBY, OTHER THAN THOSE EXPRESSLY SET FORTH IN THIS PURCHASE AGREEMENT.  PURCHASER ADDITIONALLY ACKNOWLEDGES THAT IT HAS CONDUCTED ITS OWN EVALUATION OF ALL ASPECTS (INCLUDING, WITHOUT LIMITATION, ENGINEERING, ENVIRONMENTAL, TRANSMISSION, ACCOUNTING, REGULATORY AND LEGAL) OF THE COMPANY, AND THE PROJECT AND IS RELYING SOLELY ON SUCH INVESTIGATION AND EVALUATION OF SUCH MATTERS IN DETERMINING WHETHER OR NOT TO ACQUIRE THE  INTERESTS.  ADDITIONALLY, PURCHASER HAS INDEPENDENTLY EVALUATED THE RISKS ASSOCIATED WITH THE DEVELOPMENT OF THE PROJECT AND THE PROSPECTS RELATING TO OBTAINING REQUIRED CONTRACTS, AGREEMENTS, AND ARRANGEMENTS NECESSARY FOR THE SUCCESSFUL DEVELOPMENT AND OPERATION THEREOF AND IS RELYING SOLELY ON SUCH INVESTIGATION AND EVALUATION OF SUCH MATTERS IN DETERMINING WHETHER OR NOT TO ACQUIRE THE INTERESTS.  PURCHASER ACKNOWLEDGES THAT THE KENDALL PROJECT DOCUMENTS DO NOT REPRESENT OR PROVIDE FOR ALL OF THE ASSETS, CONTRACTS, AND AGREEMENTS NECESSARY FOR THE DEVELOPMENT OR OPERATION OF THE PROJECT AND SELLER MAKES NO REPRESENTATION OR WARRANTY AS TO THE ABILITY OF PURCHASER TO OBTAIN THE SAME OR ANY OF THE TERMS THEREOF, OR AS TO THE ABILITY OR LIKELIHOOD THAT ANY OF THE OTHER PARTIES TO ANY OF SUCH DOCUMENTS SHALL PERFORM IN ACCORDANCE WITH THE TERMS THEREOF.</w:t>
      </w:r>
    </w:p>
    <w:p>
      <w:pPr>
        <w:pStyle w:val="List"/>
        <w:numPr>
          <w:ilvl w:val="2"/>
          <w:numId w:val="5"/>
        </w:numPr>
        <w:tabs>
          <w:tab w:val="clear" w:pos="720"/>
        </w:tabs>
        <w:ind w:hanging="0" w:start="0"/>
        <w:rPr/>
      </w:pPr>
      <w:r>
        <w:rPr/>
        <w:t>SELLER MAY, NOTWITHSTANDING THIS PURCHASE AGREEMENT, ENGAGE IN WHATEVER ACTIVITIES IT CHOOSES (INCLUDING DEVELOPMENT ACTIVITIES OR POWER PROJECTS) REGARDLESS OF WHETHER THE SAME ARE COMPETITIVE WITH THE PURCHASER, WITHOUT HAVING OR INCURRING ANY OBLIGATION TO DISCLOSE SUCH ACTIVITIES TO PURCHASER OR TO OFFER TO PURCHASER ANY INTEREST IN SUCH ACTIVITIES.  NEITHER THIS PURCHASE AGREEMENT NOR ANY ACTIVITY UNDERTAKEN PURSUANT HERETO SHALL PREVENT SELLER FROM ENGAGING IN SUCH ACTIVITIES, OR REQUIRE SELLER TO DISCLOSE SUCH PARTICIPATION TO PURCHASER, AND AS A MATERIAL PART OF THE CONSIDERATION FOR THE EXECUTION OF THIS PURCHASE AGREEMENT BY SELLER, PURCHASER HEREBY WAIVES, RELINQUISHES, AND RENOUNCES ANY SUCH RIGHT OR CLAIM OF NOTICE OR PARTICIPATION IN SUCH ACTIVITIES.</w:t>
      </w:r>
    </w:p>
    <w:p>
      <w:pPr>
        <w:pStyle w:val="Heading1"/>
        <w:numPr>
          <w:ilvl w:val="1"/>
          <w:numId w:val="5"/>
        </w:numPr>
        <w:tabs>
          <w:tab w:val="clear" w:pos="720"/>
        </w:tabs>
        <w:ind w:hanging="0" w:start="0"/>
        <w:rPr/>
      </w:pPr>
      <w:r>
        <w:rPr>
          <w:u w:val="single"/>
        </w:rPr>
        <w:t>Brokers and Agents</w:t>
      </w:r>
      <w:r>
        <w:fldChar w:fldCharType="begin"/>
      </w:r>
      <w:r>
        <w:rPr/>
        <w:instrText xml:space="preserve"> TC "Section 7.10</w:instrText>
        <w:tab/>
        <w:instrText xml:space="preserve">Brokers and Agents" \l 2 </w:instrText>
      </w:r>
      <w:r>
        <w:rPr/>
        <w:fldChar w:fldCharType="separate"/>
      </w:r>
      <w:r>
        <w:rPr/>
      </w:r>
      <w:r>
        <w:rPr/>
        <w:fldChar w:fldCharType="end"/>
      </w:r>
      <w:bookmarkStart w:id="56" w:name="__RefHeading___Toc500080766"/>
      <w:bookmarkEnd w:id="56"/>
      <w:r>
        <w:rPr/>
        <w:t>.  Each party to this Purchase Agreement agrees to indemnify the other party hereto against all Damages arising out of claims for fees or commissions or brokers employed or alleged to have been employed by such indemnifying party.</w:t>
      </w:r>
    </w:p>
    <w:p>
      <w:pPr>
        <w:pStyle w:val="Heading1"/>
        <w:numPr>
          <w:ilvl w:val="1"/>
          <w:numId w:val="5"/>
        </w:numPr>
        <w:tabs>
          <w:tab w:val="clear" w:pos="720"/>
        </w:tabs>
        <w:ind w:hanging="0" w:start="0"/>
        <w:rPr/>
      </w:pPr>
      <w:r>
        <w:rPr>
          <w:u w:val="single"/>
        </w:rPr>
        <w:t>Public Announcements</w:t>
      </w:r>
      <w:r>
        <w:fldChar w:fldCharType="begin"/>
      </w:r>
      <w:r>
        <w:rPr/>
        <w:instrText xml:space="preserve"> TC "Section 7.11</w:instrText>
        <w:tab/>
        <w:instrText xml:space="preserve">Public Announcements" \l 2 </w:instrText>
      </w:r>
      <w:r>
        <w:rPr/>
        <w:fldChar w:fldCharType="separate"/>
      </w:r>
      <w:r>
        <w:rPr/>
      </w:r>
      <w:r>
        <w:rPr/>
        <w:fldChar w:fldCharType="end"/>
      </w:r>
      <w:bookmarkStart w:id="57" w:name="__RefHeading___Toc500080767"/>
      <w:bookmarkEnd w:id="57"/>
      <w:r>
        <w:rPr/>
        <w:t>.  The parties shall make no public announcements or statements with respect to this Purchase Agreement or the transactions contemplated hereby until the Closing and then only in accordance with the terms of this Section 7.11 and the Confidentiality Agreement.  The parties to this Purchase Agreement shall consult with each other regarding any public announcement or statement with respect to this Purchase Agreement or the transactions contemplated hereby and no party shall issue any public announcement or other statement with respect to the existence of this Purchase Agreement or the transactions contemplated hereby without the prior written consent of the other party, unless required by applicable law or regulation or order of a court of competent jurisdiction.</w:t>
      </w:r>
    </w:p>
    <w:p>
      <w:pPr>
        <w:pStyle w:val="Heading1"/>
        <w:numPr>
          <w:ilvl w:val="1"/>
          <w:numId w:val="5"/>
        </w:numPr>
        <w:tabs>
          <w:tab w:val="clear" w:pos="720"/>
        </w:tabs>
        <w:ind w:hanging="0" w:start="0"/>
        <w:rPr/>
      </w:pPr>
      <w:r>
        <w:rPr>
          <w:u w:val="single"/>
        </w:rPr>
        <w:t>Governing Law</w:t>
      </w:r>
      <w:r>
        <w:fldChar w:fldCharType="begin"/>
      </w:r>
      <w:r>
        <w:rPr/>
        <w:instrText xml:space="preserve"> TC "Section 7.12</w:instrText>
        <w:tab/>
        <w:instrText xml:space="preserve">Governing Law" \l 2 </w:instrText>
      </w:r>
      <w:r>
        <w:rPr/>
        <w:fldChar w:fldCharType="separate"/>
      </w:r>
      <w:r>
        <w:rPr/>
      </w:r>
      <w:r>
        <w:rPr/>
        <w:fldChar w:fldCharType="end"/>
      </w:r>
      <w:bookmarkStart w:id="58" w:name="__RefHeading___Toc500080768"/>
      <w:bookmarkEnd w:id="58"/>
      <w:r>
        <w:rPr/>
        <w:t>.  THE LAWS OF THE STATE OF TEXAS SHALL GOVERN THIS PURCHASE AGREEMENT WITHOUT REGARD TO CONFLICT OF LAWS PRINCIPLES.</w:t>
      </w:r>
    </w:p>
    <w:p>
      <w:pPr>
        <w:pStyle w:val="Heading1"/>
        <w:numPr>
          <w:ilvl w:val="1"/>
          <w:numId w:val="5"/>
        </w:numPr>
        <w:tabs>
          <w:tab w:val="clear" w:pos="720"/>
        </w:tabs>
        <w:ind w:hanging="0" w:start="0"/>
        <w:rPr/>
      </w:pPr>
      <w:r>
        <w:rPr>
          <w:u w:val="single"/>
        </w:rPr>
        <w:t>Severability of Provisions</w:t>
      </w:r>
      <w:r>
        <w:fldChar w:fldCharType="begin"/>
      </w:r>
      <w:r>
        <w:rPr/>
        <w:instrText xml:space="preserve"> TC "Section 7.13</w:instrText>
        <w:tab/>
        <w:instrText xml:space="preserve">Severability of Provisions" \l 2 </w:instrText>
      </w:r>
      <w:r>
        <w:rPr/>
        <w:fldChar w:fldCharType="separate"/>
      </w:r>
      <w:r>
        <w:rPr/>
      </w:r>
      <w:r>
        <w:rPr/>
        <w:fldChar w:fldCharType="end"/>
      </w:r>
      <w:bookmarkStart w:id="59" w:name="__RefHeading___Toc500080769"/>
      <w:bookmarkEnd w:id="59"/>
      <w:r>
        <w:rPr/>
        <w:t>.  Any provision of this Purchase Agreement which is prohibited or unenforceable in any jurisdiction shall, as to such jurisdiction, be ineffective to the extent of such prohibition or unenforceability without invalidating the remaining provisions hereof or affecting or impairing the validity or enforceability of such provision in any other jurisdiction.</w:t>
      </w:r>
      <w:r>
        <w:br w:type="page"/>
      </w:r>
    </w:p>
    <w:p>
      <w:pPr>
        <w:pStyle w:val="Normal"/>
        <w:keepLines/>
        <w:ind w:firstLine="1440" w:end="0"/>
        <w:rPr/>
      </w:pPr>
      <w:r>
        <w:rPr/>
        <w:t>IN WITNESS WHEREOF, the parties hereto execute this Purchase Agreement, effective as of the date first above written.</w:t>
      </w:r>
    </w:p>
    <w:p>
      <w:pPr>
        <w:pStyle w:val="Normal"/>
        <w:spacing w:lineRule="auto" w:line="214"/>
        <w:rPr/>
      </w:pPr>
      <w:r>
        <w:rPr/>
      </w:r>
    </w:p>
    <w:p>
      <w:pPr>
        <w:pStyle w:val="Normal"/>
        <w:spacing w:lineRule="auto" w:line="214"/>
        <w:rPr/>
      </w:pPr>
      <w:r>
        <w:rPr/>
        <w:tab/>
        <w:tab/>
        <w:tab/>
        <w:tab/>
        <w:tab/>
        <w:tab/>
      </w:r>
      <w:r>
        <w:rPr>
          <w:i/>
        </w:rPr>
        <w:t>Purchaser:</w:t>
      </w:r>
    </w:p>
    <w:p>
      <w:pPr>
        <w:pStyle w:val="Normal"/>
        <w:spacing w:lineRule="auto" w:line="214"/>
        <w:rPr>
          <w:i/>
          <w:i/>
        </w:rPr>
      </w:pPr>
      <w:r>
        <w:rPr>
          <w:i/>
        </w:rPr>
      </w:r>
    </w:p>
    <w:p>
      <w:pPr>
        <w:pStyle w:val="Normal"/>
        <w:spacing w:lineRule="auto" w:line="214"/>
        <w:ind w:firstLine="4320" w:end="0"/>
        <w:rPr>
          <w:b/>
        </w:rPr>
      </w:pPr>
      <w:r>
        <w:rPr>
          <w:b/>
        </w:rPr>
        <w:t>COASTAL POWER CORPORATION</w:t>
      </w:r>
    </w:p>
    <w:p>
      <w:pPr>
        <w:pStyle w:val="Normal"/>
        <w:spacing w:lineRule="auto" w:line="214"/>
        <w:rPr>
          <w:b/>
        </w:rPr>
      </w:pPr>
      <w:r>
        <w:rPr>
          <w:b/>
        </w:rPr>
      </w:r>
    </w:p>
    <w:p>
      <w:pPr>
        <w:pStyle w:val="Normal"/>
        <w:spacing w:lineRule="auto" w:line="214"/>
        <w:rPr>
          <w:b/>
        </w:rPr>
      </w:pPr>
      <w:r>
        <w:rPr>
          <w:b/>
        </w:rPr>
      </w:r>
    </w:p>
    <w:p>
      <w:pPr>
        <w:pStyle w:val="Normal"/>
        <w:tabs>
          <w:tab w:val="clear" w:pos="720"/>
          <w:tab w:val="right" w:pos="9360" w:leader="none"/>
        </w:tabs>
        <w:spacing w:lineRule="auto" w:line="214"/>
        <w:ind w:firstLine="4320" w:end="0"/>
        <w:rPr/>
      </w:pPr>
      <w:r>
        <w:rPr/>
        <w:t>By:</w:t>
      </w:r>
      <w:r>
        <w:rPr>
          <w:u w:val="single"/>
        </w:rPr>
        <w:tab/>
      </w:r>
    </w:p>
    <w:p>
      <w:pPr>
        <w:pStyle w:val="Normal"/>
        <w:tabs>
          <w:tab w:val="clear" w:pos="720"/>
          <w:tab w:val="right" w:pos="9360" w:leader="none"/>
        </w:tabs>
        <w:spacing w:lineRule="auto" w:line="214"/>
        <w:ind w:firstLine="720" w:start="3600" w:end="0"/>
        <w:rPr/>
      </w:pPr>
      <w:r>
        <w:rPr/>
        <w:t>Name:</w:t>
      </w:r>
      <w:r>
        <w:rPr>
          <w:u w:val="single"/>
        </w:rPr>
        <w:tab/>
      </w:r>
    </w:p>
    <w:p>
      <w:pPr>
        <w:pStyle w:val="Normal"/>
        <w:tabs>
          <w:tab w:val="clear" w:pos="720"/>
          <w:tab w:val="right" w:pos="9360" w:leader="none"/>
        </w:tabs>
        <w:spacing w:lineRule="auto" w:line="214"/>
        <w:ind w:firstLine="720" w:start="3600" w:end="0"/>
        <w:rPr/>
      </w:pPr>
      <w:r>
        <w:rPr/>
        <w:t>Title:</w:t>
      </w:r>
      <w:r>
        <w:rPr>
          <w:u w:val="single"/>
        </w:rPr>
        <w:tab/>
      </w:r>
    </w:p>
    <w:p>
      <w:pPr>
        <w:pStyle w:val="Normal"/>
        <w:spacing w:lineRule="auto" w:line="214"/>
        <w:rPr>
          <w:u w:val="single"/>
        </w:rPr>
      </w:pPr>
      <w:r>
        <w:rPr>
          <w:u w:val="single"/>
        </w:rPr>
      </w:r>
    </w:p>
    <w:p>
      <w:pPr>
        <w:pStyle w:val="Normal"/>
        <w:spacing w:lineRule="auto" w:line="214"/>
        <w:rPr/>
      </w:pPr>
      <w:r>
        <w:rPr/>
      </w:r>
    </w:p>
    <w:p>
      <w:pPr>
        <w:pStyle w:val="Normal"/>
        <w:spacing w:lineRule="auto" w:line="214"/>
        <w:rPr/>
      </w:pPr>
      <w:r>
        <w:rPr/>
        <w:tab/>
        <w:tab/>
        <w:tab/>
        <w:tab/>
        <w:tab/>
        <w:tab/>
      </w:r>
      <w:r>
        <w:rPr>
          <w:i/>
        </w:rPr>
        <w:t>Seller:</w:t>
      </w:r>
    </w:p>
    <w:p>
      <w:pPr>
        <w:pStyle w:val="Normal"/>
        <w:spacing w:lineRule="auto" w:line="214"/>
        <w:rPr>
          <w:i/>
          <w:i/>
        </w:rPr>
      </w:pPr>
      <w:r>
        <w:rPr>
          <w:i/>
        </w:rPr>
      </w:r>
    </w:p>
    <w:p>
      <w:pPr>
        <w:pStyle w:val="Normal"/>
        <w:numPr>
          <w:ilvl w:val="0"/>
          <w:numId w:val="0"/>
        </w:numPr>
        <w:spacing w:lineRule="auto" w:line="214"/>
        <w:ind w:start="4320" w:end="0"/>
        <w:outlineLvl w:val="0"/>
        <w:rPr>
          <w:b/>
        </w:rPr>
      </w:pPr>
      <w:r>
        <w:rPr>
          <w:b/>
        </w:rPr>
        <w:t>ENRON NORTH AMERICA CORP.</w:t>
      </w:r>
    </w:p>
    <w:p>
      <w:pPr>
        <w:pStyle w:val="Normal"/>
        <w:spacing w:lineRule="auto" w:line="214"/>
        <w:rPr>
          <w:b/>
        </w:rPr>
      </w:pPr>
      <w:r>
        <w:rPr>
          <w:b/>
        </w:rPr>
      </w:r>
    </w:p>
    <w:p>
      <w:pPr>
        <w:pStyle w:val="Normal"/>
        <w:spacing w:lineRule="auto" w:line="214"/>
        <w:rPr/>
      </w:pPr>
      <w:r>
        <w:rPr/>
      </w:r>
    </w:p>
    <w:p>
      <w:pPr>
        <w:pStyle w:val="Normal"/>
        <w:tabs>
          <w:tab w:val="clear" w:pos="720"/>
          <w:tab w:val="right" w:pos="9360" w:leader="none"/>
        </w:tabs>
        <w:spacing w:lineRule="auto" w:line="214"/>
        <w:ind w:firstLine="720" w:start="3600" w:end="0"/>
        <w:rPr/>
      </w:pPr>
      <w:r>
        <w:rPr/>
        <w:t>By:</w:t>
      </w:r>
      <w:r>
        <w:rPr>
          <w:u w:val="single"/>
        </w:rPr>
        <w:tab/>
      </w:r>
    </w:p>
    <w:p>
      <w:pPr>
        <w:pStyle w:val="Normal"/>
        <w:tabs>
          <w:tab w:val="clear" w:pos="720"/>
          <w:tab w:val="right" w:pos="9360" w:leader="none"/>
        </w:tabs>
        <w:spacing w:lineRule="auto" w:line="214"/>
        <w:ind w:firstLine="720" w:start="3600" w:end="0"/>
        <w:rPr/>
      </w:pPr>
      <w:r>
        <w:rPr/>
        <w:t>Name:</w:t>
      </w:r>
      <w:r>
        <w:rPr>
          <w:u w:val="single"/>
        </w:rPr>
        <w:tab/>
      </w:r>
    </w:p>
    <w:p>
      <w:pPr>
        <w:pStyle w:val="Normal"/>
        <w:tabs>
          <w:tab w:val="clear" w:pos="720"/>
          <w:tab w:val="right" w:pos="9360" w:leader="none"/>
        </w:tabs>
        <w:spacing w:lineRule="auto" w:line="214"/>
        <w:ind w:firstLine="720" w:start="3600" w:end="0"/>
        <w:rPr/>
      </w:pPr>
      <w:r>
        <w:rPr/>
        <w:t>Title:</w:t>
      </w:r>
      <w:r>
        <w:rPr>
          <w:u w:val="single"/>
        </w:rPr>
        <w:tab/>
      </w:r>
    </w:p>
    <w:p>
      <w:pPr>
        <w:pStyle w:val="Normal"/>
        <w:tabs>
          <w:tab w:val="clear" w:pos="720"/>
          <w:tab w:val="right" w:pos="9360" w:leader="none"/>
        </w:tabs>
        <w:spacing w:lineRule="auto" w:line="214"/>
        <w:jc w:val="center"/>
        <w:rPr>
          <w:u w:val="single"/>
        </w:rPr>
      </w:pPr>
      <w:r>
        <w:rPr>
          <w:u w:val="single"/>
        </w:rPr>
      </w:r>
    </w:p>
    <w:p>
      <w:pPr>
        <w:pStyle w:val="Normal"/>
        <w:tabs>
          <w:tab w:val="clear" w:pos="720"/>
          <w:tab w:val="right" w:pos="9360" w:leader="none"/>
        </w:tabs>
        <w:spacing w:lineRule="auto" w:line="214"/>
        <w:jc w:val="center"/>
        <w:rPr/>
      </w:pPr>
      <w:r>
        <w:rPr/>
      </w:r>
    </w:p>
    <w:p>
      <w:pPr>
        <w:pStyle w:val="Normal"/>
        <w:tabs>
          <w:tab w:val="clear" w:pos="720"/>
          <w:tab w:val="right" w:pos="9360" w:leader="none"/>
        </w:tabs>
        <w:spacing w:lineRule="auto" w:line="214"/>
        <w:jc w:val="center"/>
        <w:rPr/>
      </w:pPr>
      <w:r>
        <w:rPr/>
      </w:r>
    </w:p>
    <w:p>
      <w:pPr>
        <w:pStyle w:val="Normal"/>
        <w:jc w:val="center"/>
        <w:rPr/>
      </w:pPr>
      <w:r>
        <w:rPr/>
      </w:r>
    </w:p>
    <w:p>
      <w:pPr>
        <w:pStyle w:val="Normal"/>
        <w:jc w:val="center"/>
        <w:rPr/>
      </w:pPr>
      <w:r>
        <w:rPr/>
      </w:r>
    </w:p>
    <w:p>
      <w:pPr>
        <w:pStyle w:val="Normal"/>
        <w:rPr/>
      </w:pPr>
      <w:r>
        <w:rPr/>
        <w:t>Coastal Corporation (the “Guarantor”) hereby joins in this Purchase Agreement solely for the purposes set forth in this paragraph. Guarantor unconditionally and irrevocably guaranties, as primary obligor and not merely as surety, to and for the benefit of Seller, prompt and complete payment of all obligations due and payable to Seller by Purchaser under and pursuant to this Purchase Agreement, together with any and all reasonable expenses (including reasonable attorneys’ fees and expenses) incurred by Seller in enforcing this Purchase Agreement (collectively, the “Obligations”). Guarantor agrees, that upon the failure of the Purchaser to pay any of the Obligations when they become due, Guarantor will pay, or cause to be paid, to Seller any and all such unpaid Obligations. No assignment by either party of its rights under this Purchase Agreement shall operate to relieve Guarantor of any of its obligations hereunder.  No amendment of this Purchase Agreement shall operate to relieve Guarantor of its obligations hereunder.</w:t>
      </w:r>
    </w:p>
    <w:p>
      <w:pPr>
        <w:pStyle w:val="Normal"/>
        <w:rPr/>
      </w:pPr>
      <w:r>
        <w:rPr/>
      </w:r>
    </w:p>
    <w:p>
      <w:pPr>
        <w:pStyle w:val="Normal"/>
        <w:ind w:firstLine="720" w:start="3600" w:end="0"/>
        <w:rPr>
          <w:b/>
        </w:rPr>
      </w:pPr>
      <w:r>
        <w:rPr>
          <w:b/>
        </w:rPr>
        <w:tab/>
        <w:t>COASTAL CORPORATION</w:t>
      </w:r>
    </w:p>
    <w:p>
      <w:pPr>
        <w:pStyle w:val="Normal"/>
        <w:rPr>
          <w:b/>
        </w:rPr>
      </w:pPr>
      <w:r>
        <w:rPr>
          <w:b/>
        </w:rPr>
      </w:r>
    </w:p>
    <w:p>
      <w:pPr>
        <w:pStyle w:val="Normal"/>
        <w:rPr/>
      </w:pPr>
      <w:r>
        <w:rPr/>
        <w:tab/>
        <w:tab/>
        <w:tab/>
        <w:tab/>
        <w:tab/>
        <w:tab/>
        <w:tab/>
        <w:t>By:</w:t>
      </w:r>
      <w:r>
        <w:rPr>
          <w:u w:val="single"/>
        </w:rPr>
        <w:t xml:space="preserve"> </w:t>
        <w:tab/>
        <w:tab/>
        <w:tab/>
        <w:tab/>
        <w:tab/>
        <w:tab/>
      </w:r>
    </w:p>
    <w:p>
      <w:pPr>
        <w:pStyle w:val="Normal"/>
        <w:rPr/>
      </w:pPr>
      <w:r>
        <w:rPr/>
        <w:tab/>
        <w:tab/>
        <w:tab/>
        <w:tab/>
        <w:tab/>
        <w:tab/>
        <w:tab/>
        <w:t>Name:</w:t>
      </w:r>
      <w:r>
        <w:rPr>
          <w:u w:val="single"/>
        </w:rPr>
        <w:t xml:space="preserve"> </w:t>
        <w:tab/>
        <w:tab/>
        <w:tab/>
        <w:tab/>
        <w:tab/>
        <w:tab/>
      </w:r>
    </w:p>
    <w:p>
      <w:pPr>
        <w:pStyle w:val="Normal"/>
        <w:rPr/>
      </w:pPr>
      <w:r>
        <w:rPr/>
        <w:tab/>
        <w:tab/>
        <w:tab/>
        <w:tab/>
        <w:tab/>
        <w:tab/>
        <w:tab/>
        <w:t>Title:</w:t>
      </w:r>
      <w:r>
        <w:rPr>
          <w:u w:val="single"/>
        </w:rPr>
        <w:t xml:space="preserve"> </w:t>
        <w:tab/>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2160" w:top="2216" w:footer="720" w:bottom="776"/>
          <w:pgNumType w:start="1" w:fmt="decimal"/>
          <w:formProt w:val="false"/>
          <w:titlePg/>
          <w:textDirection w:val="lrTb"/>
          <w:docGrid w:type="default" w:linePitch="360" w:charSpace="0"/>
        </w:sectPr>
        <w:pStyle w:val="Normal"/>
        <w:rPr>
          <w:u w:val="single"/>
        </w:rPr>
      </w:pPr>
      <w:r>
        <w:rPr>
          <w:u w:val="single"/>
        </w:rPr>
      </w:r>
    </w:p>
    <w:p>
      <w:pPr>
        <w:pStyle w:val="Normal"/>
        <w:tabs>
          <w:tab w:val="clear" w:pos="720"/>
          <w:tab w:val="right" w:pos="9360" w:leader="none"/>
        </w:tabs>
        <w:spacing w:lineRule="auto" w:line="214"/>
        <w:jc w:val="center"/>
        <w:rPr>
          <w:b/>
        </w:rPr>
      </w:pPr>
      <w:r>
        <w:rPr>
          <w:b/>
        </w:rPr>
        <w:t>Schedule 3.15</w:t>
      </w:r>
    </w:p>
    <w:p>
      <w:pPr>
        <w:pStyle w:val="Normal"/>
        <w:tabs>
          <w:tab w:val="clear" w:pos="720"/>
          <w:tab w:val="right" w:pos="9360" w:leader="none"/>
        </w:tabs>
        <w:spacing w:lineRule="auto" w:line="214"/>
        <w:jc w:val="center"/>
        <w:rPr/>
      </w:pPr>
      <w:r>
        <w:rPr/>
      </w:r>
    </w:p>
    <w:p>
      <w:pPr>
        <w:pStyle w:val="Normal"/>
        <w:tabs>
          <w:tab w:val="clear" w:pos="720"/>
          <w:tab w:val="right" w:pos="9360" w:leader="none"/>
        </w:tabs>
        <w:spacing w:lineRule="auto" w:line="214"/>
        <w:jc w:val="center"/>
        <w:rPr/>
      </w:pPr>
      <w:r>
        <w:rPr/>
        <w:t>Project Documents</w:t>
      </w:r>
    </w:p>
    <w:p>
      <w:pPr>
        <w:pStyle w:val="Normal"/>
        <w:tabs>
          <w:tab w:val="clear" w:pos="720"/>
          <w:tab w:val="right" w:pos="9360" w:leader="none"/>
        </w:tabs>
        <w:spacing w:lineRule="auto" w:line="214"/>
        <w:jc w:val="center"/>
        <w:rPr/>
      </w:pPr>
      <w:r>
        <w:rPr/>
      </w:r>
    </w:p>
    <w:p>
      <w:pPr>
        <w:pStyle w:val="Normal"/>
        <w:tabs>
          <w:tab w:val="clear" w:pos="720"/>
          <w:tab w:val="right" w:pos="9360" w:leader="none"/>
        </w:tabs>
        <w:spacing w:lineRule="auto" w:line="214"/>
        <w:jc w:val="center"/>
        <w:rPr>
          <w:b/>
        </w:rPr>
      </w:pPr>
      <w:r>
        <w:rPr>
          <w:b/>
        </w:rPr>
        <w:t>[TO BE COMPLETED]</w:t>
      </w:r>
    </w:p>
    <w:p>
      <w:pPr>
        <w:pStyle w:val="Normal"/>
        <w:tabs>
          <w:tab w:val="clear" w:pos="720"/>
          <w:tab w:val="right" w:pos="9360" w:leader="none"/>
        </w:tabs>
        <w:spacing w:lineRule="auto" w:line="214"/>
        <w:jc w:val="center"/>
        <w:rPr>
          <w:b/>
        </w:rPr>
      </w:pPr>
      <w:r>
        <w:rPr>
          <w:b/>
        </w:rPr>
      </w:r>
    </w:p>
    <w:p>
      <w:pPr>
        <w:pStyle w:val="Normal"/>
        <w:rPr/>
      </w:pPr>
      <w:r>
        <w:rPr/>
        <w:t>L.L.C. Organizational Documents</w:t>
      </w:r>
    </w:p>
    <w:p>
      <w:pPr>
        <w:pStyle w:val="Normal"/>
        <w:rPr/>
      </w:pPr>
      <w:r>
        <w:rPr/>
        <w:t>Project Description</w:t>
      </w:r>
    </w:p>
    <w:p>
      <w:pPr>
        <w:pStyle w:val="Normal"/>
        <w:rPr/>
      </w:pPr>
      <w:r>
        <w:rPr/>
        <w:t>Project Site Drawings:</w:t>
        <w:tab/>
        <w:tab/>
      </w:r>
    </w:p>
    <w:p>
      <w:pPr>
        <w:pStyle w:val="Normal"/>
        <w:ind w:start="720" w:end="0"/>
        <w:rPr/>
      </w:pPr>
      <w:r>
        <w:rPr/>
        <w:t>Conceptual Site and Landscape Plan</w:t>
      </w:r>
    </w:p>
    <w:p>
      <w:pPr>
        <w:pStyle w:val="Normal"/>
        <w:ind w:start="720" w:end="0"/>
        <w:rPr/>
      </w:pPr>
      <w:r>
        <w:rPr/>
        <w:t>Conceptual Facilities Plan</w:t>
      </w:r>
    </w:p>
    <w:p>
      <w:pPr>
        <w:pStyle w:val="Normal"/>
        <w:ind w:start="720" w:end="0"/>
        <w:rPr/>
      </w:pPr>
      <w:r>
        <w:rPr/>
        <w:t>Site Elevations</w:t>
      </w:r>
    </w:p>
    <w:p>
      <w:pPr>
        <w:pStyle w:val="Normal"/>
        <w:ind w:start="720" w:end="0"/>
        <w:rPr/>
      </w:pPr>
      <w:r>
        <w:rPr/>
        <w:t>Future Land Use</w:t>
      </w:r>
    </w:p>
    <w:p>
      <w:pPr>
        <w:pStyle w:val="Normal"/>
        <w:ind w:start="720" w:end="0"/>
        <w:rPr/>
      </w:pPr>
      <w:r>
        <w:rPr/>
        <w:t>Site Analysis Summary</w:t>
      </w:r>
    </w:p>
    <w:p>
      <w:pPr>
        <w:pStyle w:val="Normal"/>
        <w:ind w:start="720" w:end="0"/>
        <w:rPr/>
      </w:pPr>
      <w:r>
        <w:rPr/>
        <w:t>Zoning Plat</w:t>
      </w:r>
    </w:p>
    <w:p>
      <w:pPr>
        <w:pStyle w:val="Normal"/>
        <w:ind w:start="720" w:end="0"/>
        <w:rPr/>
      </w:pPr>
      <w:r>
        <w:rPr/>
        <w:t>ALTA Land Title Survey</w:t>
      </w:r>
    </w:p>
    <w:p>
      <w:pPr>
        <w:pStyle w:val="Normal"/>
        <w:ind w:start="720" w:end="0"/>
        <w:rPr/>
      </w:pPr>
      <w:r>
        <w:rPr/>
        <w:t>Conceptual Stormwater Management Plan</w:t>
      </w:r>
    </w:p>
    <w:p>
      <w:pPr>
        <w:pStyle w:val="Normal"/>
        <w:ind w:start="720" w:end="0"/>
        <w:rPr/>
      </w:pPr>
      <w:r>
        <w:rPr/>
        <w:t>Site Arial Photograph</w:t>
      </w:r>
    </w:p>
    <w:p>
      <w:pPr>
        <w:pStyle w:val="Normal"/>
        <w:rPr/>
      </w:pPr>
      <w:r>
        <w:rPr/>
      </w:r>
    </w:p>
    <w:p>
      <w:pPr>
        <w:pStyle w:val="Normal"/>
        <w:rPr/>
      </w:pPr>
      <w:r>
        <w:rPr/>
        <w:t>Option to Purchase Real Estate Contract</w:t>
      </w:r>
    </w:p>
    <w:p>
      <w:pPr>
        <w:pStyle w:val="Normal"/>
        <w:ind w:firstLine="720" w:end="0"/>
        <w:rPr/>
      </w:pPr>
      <w:r>
        <w:rPr/>
        <w:t>Project Site (“Konicek” parcel)</w:t>
      </w:r>
    </w:p>
    <w:p>
      <w:pPr>
        <w:pStyle w:val="Normal"/>
        <w:ind w:firstLine="720" w:end="0"/>
        <w:rPr/>
      </w:pPr>
      <w:r>
        <w:rPr/>
        <w:t>Amendment</w:t>
      </w:r>
    </w:p>
    <w:p>
      <w:pPr>
        <w:pStyle w:val="Normal"/>
        <w:ind w:firstLine="720" w:end="0"/>
        <w:rPr/>
      </w:pPr>
      <w:r>
        <w:rPr/>
      </w:r>
    </w:p>
    <w:p>
      <w:pPr>
        <w:pStyle w:val="Normal"/>
        <w:rPr/>
      </w:pPr>
      <w:r>
        <w:rPr/>
        <w:t>Transmission Line and Pipeline Site Map</w:t>
      </w:r>
    </w:p>
    <w:p>
      <w:pPr>
        <w:pStyle w:val="Normal"/>
        <w:rPr/>
      </w:pPr>
      <w:r>
        <w:rPr/>
      </w:r>
    </w:p>
    <w:p>
      <w:pPr>
        <w:pStyle w:val="Normal"/>
        <w:rPr/>
      </w:pPr>
      <w:r>
        <w:rPr/>
        <w:t>Commonwealth Edison Documentation:</w:t>
      </w:r>
    </w:p>
    <w:p>
      <w:pPr>
        <w:pStyle w:val="Normal"/>
        <w:ind w:firstLine="720" w:end="0"/>
        <w:rPr/>
      </w:pPr>
      <w:r>
        <w:rPr/>
        <w:t>Interconnection Feasibility Study (5/23/00)</w:t>
      </w:r>
    </w:p>
    <w:p>
      <w:pPr>
        <w:pStyle w:val="Normal"/>
        <w:ind w:start="720" w:end="0"/>
        <w:rPr/>
      </w:pPr>
      <w:r>
        <w:rPr/>
        <w:t>Interconnection Feasibility Study (12/22/98)</w:t>
      </w:r>
    </w:p>
    <w:p>
      <w:pPr>
        <w:pStyle w:val="Normal"/>
        <w:ind w:start="720" w:end="0"/>
        <w:rPr/>
      </w:pPr>
      <w:r>
        <w:rPr/>
        <w:t>Notice of Intent to Interconnect (11/20/00)</w:t>
      </w:r>
    </w:p>
    <w:p>
      <w:pPr>
        <w:pStyle w:val="Normal"/>
        <w:ind w:start="720" w:end="0"/>
        <w:rPr/>
      </w:pPr>
      <w:r>
        <w:rPr/>
        <w:t>Notice of Intent to Interconnect (6/12/00)</w:t>
      </w:r>
    </w:p>
    <w:p>
      <w:pPr>
        <w:pStyle w:val="Normal"/>
        <w:ind w:start="720" w:end="0"/>
        <w:rPr/>
      </w:pPr>
      <w:r>
        <w:rPr/>
        <w:t>Interconnection Letter of Intent</w:t>
      </w:r>
    </w:p>
    <w:p>
      <w:pPr>
        <w:pStyle w:val="Normal"/>
        <w:ind w:start="720" w:end="0"/>
        <w:rPr/>
      </w:pPr>
      <w:r>
        <w:rPr/>
        <w:t>Interconnection Project Diagram</w:t>
      </w:r>
    </w:p>
    <w:p>
      <w:pPr>
        <w:pStyle w:val="Normal"/>
        <w:ind w:start="720" w:end="0"/>
        <w:rPr/>
      </w:pPr>
      <w:r>
        <w:rPr/>
        <w:t>Interconnection Notice to Proceed</w:t>
      </w:r>
    </w:p>
    <w:p>
      <w:pPr>
        <w:pStyle w:val="Normal"/>
        <w:ind w:start="720" w:end="0"/>
        <w:rPr/>
      </w:pPr>
      <w:r>
        <w:rPr/>
        <w:t>Transmission Service Requests</w:t>
      </w:r>
    </w:p>
    <w:p>
      <w:pPr>
        <w:pStyle w:val="Normal"/>
        <w:ind w:start="720" w:end="0"/>
        <w:rPr/>
      </w:pPr>
      <w:r>
        <w:rPr/>
        <w:t>Facilities Study Agreement</w:t>
      </w:r>
    </w:p>
    <w:p>
      <w:pPr>
        <w:pStyle w:val="Normal"/>
        <w:rPr/>
      </w:pPr>
      <w:r>
        <w:rPr/>
      </w:r>
    </w:p>
    <w:p>
      <w:pPr>
        <w:pStyle w:val="Normal"/>
        <w:rPr/>
      </w:pPr>
      <w:r>
        <w:rPr/>
        <w:t>Special Use Permit (Kendall County)</w:t>
        <w:tab/>
      </w:r>
    </w:p>
    <w:p>
      <w:pPr>
        <w:pStyle w:val="Normal"/>
        <w:rPr/>
      </w:pPr>
      <w:r>
        <w:rPr/>
        <w:t>Annexation Agreement (United City of Yorkville)</w:t>
      </w:r>
    </w:p>
    <w:p>
      <w:pPr>
        <w:pStyle w:val="Normal"/>
        <w:rPr/>
      </w:pPr>
      <w:r>
        <w:rPr/>
        <w:t>PSD Construction Permit</w:t>
        <w:tab/>
        <w:tab/>
        <w:tab/>
        <w:tab/>
        <w:tab/>
      </w:r>
    </w:p>
    <w:p>
      <w:pPr>
        <w:pStyle w:val="Normal"/>
        <w:rPr/>
      </w:pPr>
      <w:r>
        <w:rPr/>
        <w:t>Phase 1 Study Report (ENSR)</w:t>
      </w:r>
    </w:p>
    <w:p>
      <w:pPr>
        <w:pStyle w:val="Normal"/>
        <w:rPr/>
      </w:pPr>
      <w:r>
        <w:rPr/>
        <w:t xml:space="preserve">Water Availability Study (ENSR) </w:t>
      </w:r>
    </w:p>
    <w:p>
      <w:pPr>
        <w:pStyle w:val="Normal"/>
        <w:tabs>
          <w:tab w:val="clear" w:pos="720"/>
          <w:tab w:val="right" w:pos="9360" w:leader="none"/>
        </w:tabs>
        <w:spacing w:lineRule="auto" w:line="214"/>
        <w:jc w:val="center"/>
        <w:rPr/>
      </w:pPr>
      <w:r>
        <w:rPr/>
      </w:r>
    </w:p>
    <w:p>
      <w:pPr>
        <w:sectPr>
          <w:headerReference w:type="default" r:id="rId10"/>
          <w:headerReference w:type="first" r:id="rId11"/>
          <w:footerReference w:type="default" r:id="rId12"/>
          <w:footerReference w:type="first" r:id="rId13"/>
          <w:type w:val="nextPage"/>
          <w:pgSz w:w="12240" w:h="15840"/>
          <w:pgMar w:left="1440" w:right="1440" w:gutter="0" w:header="2160" w:top="2216" w:footer="720" w:bottom="776"/>
          <w:pgNumType w:start="1" w:fmt="decimal"/>
          <w:formProt w:val="false"/>
          <w:titlePg/>
          <w:textDirection w:val="lrTb"/>
          <w:docGrid w:type="default" w:linePitch="360" w:charSpace="0"/>
        </w:sectPr>
        <w:pStyle w:val="Normal"/>
        <w:tabs>
          <w:tab w:val="clear" w:pos="720"/>
          <w:tab w:val="right" w:pos="9360" w:leader="none"/>
        </w:tabs>
        <w:spacing w:lineRule="auto" w:line="214"/>
        <w:jc w:val="center"/>
        <w:rPr/>
      </w:pPr>
      <w:r>
        <w:rPr/>
      </w:r>
    </w:p>
    <w:p>
      <w:pPr>
        <w:pStyle w:val="Normal"/>
        <w:tabs>
          <w:tab w:val="clear" w:pos="720"/>
          <w:tab w:val="right" w:pos="9360" w:leader="none"/>
        </w:tabs>
        <w:spacing w:lineRule="auto" w:line="214"/>
        <w:jc w:val="center"/>
        <w:rPr>
          <w:b/>
        </w:rPr>
      </w:pPr>
      <w:r>
        <w:rPr>
          <w:b/>
        </w:rPr>
        <w:t>EXHIBIT A</w:t>
      </w:r>
    </w:p>
    <w:p>
      <w:pPr>
        <w:pStyle w:val="Normal"/>
        <w:tabs>
          <w:tab w:val="clear" w:pos="720"/>
          <w:tab w:val="right" w:pos="9360" w:leader="none"/>
        </w:tabs>
        <w:spacing w:lineRule="auto" w:line="214"/>
        <w:jc w:val="center"/>
        <w:rPr>
          <w:b/>
        </w:rPr>
      </w:pPr>
      <w:r>
        <w:rPr>
          <w:b/>
        </w:rPr>
      </w:r>
    </w:p>
    <w:p>
      <w:pPr>
        <w:pStyle w:val="Heading"/>
        <w:rPr/>
      </w:pPr>
      <w:r>
        <w:rPr/>
        <w:t>ASSIGNMENT OF INTEREST</w:t>
      </w:r>
    </w:p>
    <w:p>
      <w:pPr>
        <w:pStyle w:val="Normal"/>
        <w:jc w:val="center"/>
        <w:rPr>
          <w:b/>
        </w:rPr>
      </w:pPr>
      <w:r>
        <w:rPr>
          <w:b/>
        </w:rPr>
        <w:t>IN KENDALL NEW CENTURY DEVELOPMENT COMPANY, L.L.C.</w:t>
      </w:r>
    </w:p>
    <w:p>
      <w:pPr>
        <w:pStyle w:val="Normal"/>
        <w:rPr>
          <w:b/>
        </w:rPr>
      </w:pPr>
      <w:r>
        <w:rPr>
          <w:b/>
        </w:rPr>
      </w:r>
    </w:p>
    <w:p>
      <w:pPr>
        <w:pStyle w:val="Normal"/>
        <w:rPr/>
      </w:pPr>
      <w:r>
        <w:rPr/>
        <w:tab/>
        <w:t xml:space="preserve">This Assignment of Interest (the "Assignment"), is by and among </w:t>
      </w:r>
      <w:r>
        <w:rPr>
          <w:b/>
        </w:rPr>
        <w:t>[Enron North American Corp.]</w:t>
      </w:r>
      <w:r>
        <w:rPr/>
        <w:t>, a Delaware corporation (the "Assignor"), and Coastal Power Corporation, a _____________ corporation (the "Assignee").</w:t>
      </w:r>
    </w:p>
    <w:p>
      <w:pPr>
        <w:pStyle w:val="Normal"/>
        <w:rPr/>
      </w:pPr>
      <w:r>
        <w:rPr/>
      </w:r>
    </w:p>
    <w:p>
      <w:pPr>
        <w:pStyle w:val="Normal"/>
        <w:rPr/>
      </w:pPr>
      <w:r>
        <w:rPr/>
        <w:tab/>
        <w:t>WHEREAS, the Assignor entered into a Securities Purchase Agreement with the Assignee dated ___________ __, 200__, whereby the Assignee agreed to purchase all of the interests in Kendall New Century Development Company, L.L.C., a Delaware limited liability company (the "Company") held by the Assignor; and</w:t>
      </w:r>
    </w:p>
    <w:p>
      <w:pPr>
        <w:pStyle w:val="Normal"/>
        <w:rPr/>
      </w:pPr>
      <w:r>
        <w:rPr/>
      </w:r>
    </w:p>
    <w:p>
      <w:pPr>
        <w:pStyle w:val="Normal"/>
        <w:rPr/>
      </w:pPr>
      <w:r>
        <w:rPr/>
        <w:tab/>
        <w:t>WHEREAS, the Assignor desires to assign of all of those interests of the Company currently held by the Assignor (the "Interests") and the Assignee desires to accept such assignment upon the terms and conditions set forth herein;</w:t>
      </w:r>
    </w:p>
    <w:p>
      <w:pPr>
        <w:pStyle w:val="Normal"/>
        <w:rPr/>
      </w:pPr>
      <w:r>
        <w:rPr/>
      </w:r>
    </w:p>
    <w:p>
      <w:pPr>
        <w:pStyle w:val="Normal"/>
        <w:rPr/>
      </w:pPr>
      <w:r>
        <w:rPr/>
        <w:tab/>
        <w:t>NOW, THEREFORE, in consideration of the mutual agreements set forth herein and for good and valuable consideration, the receipt of which is hereby acknowledged, the parties agree as follows:</w:t>
      </w:r>
    </w:p>
    <w:p>
      <w:pPr>
        <w:pStyle w:val="Normal"/>
        <w:rPr/>
      </w:pPr>
      <w:r>
        <w:rPr/>
      </w:r>
    </w:p>
    <w:p>
      <w:pPr>
        <w:pStyle w:val="Normal"/>
        <w:rPr/>
      </w:pPr>
      <w:r>
        <w:rPr/>
        <w:tab/>
        <w:t>1.</w:t>
        <w:tab/>
        <w:t xml:space="preserve">Assignment.  The Assignor hereby assigns to the Assignee all of his right, title and interest in and to all of the Interests of the Company owned by the Assignor, such assignment to be irrevocable and effective and binding on the Assignor as of the Effective Date.  </w:t>
      </w:r>
    </w:p>
    <w:p>
      <w:pPr>
        <w:pStyle w:val="Normal"/>
        <w:rPr/>
      </w:pPr>
      <w:r>
        <w:rPr/>
      </w:r>
    </w:p>
    <w:p>
      <w:pPr>
        <w:pStyle w:val="Normal"/>
        <w:rPr/>
      </w:pPr>
      <w:r>
        <w:rPr/>
        <w:tab/>
        <w:t>2.</w:t>
        <w:tab/>
        <w:t>Membership.  Upon the assignment of the Assignor's Interests, the Assignee shall become the sole member of the Company, including any and all rights, powers, benefits, duties or obligations conferred or imposed on such membership under the Delaware Limited Liability Company Act.</w:t>
      </w:r>
    </w:p>
    <w:p>
      <w:pPr>
        <w:pStyle w:val="Normal"/>
        <w:rPr/>
      </w:pPr>
      <w:r>
        <w:rPr/>
      </w:r>
    </w:p>
    <w:p>
      <w:pPr>
        <w:pStyle w:val="Normal"/>
        <w:rPr/>
      </w:pPr>
      <w:r>
        <w:rPr/>
        <w:tab/>
        <w:t>3.</w:t>
        <w:tab/>
        <w:t>Governing Law.  THE LAWS OF THE STATE OF TEXAS SHALL GOVERN THIS ASSIGNMENT WITHOUT REGARD TO CONFLICT OF LAWS PRINCIPLES.</w:t>
      </w:r>
    </w:p>
    <w:p>
      <w:pPr>
        <w:pStyle w:val="Normal"/>
        <w:rPr/>
      </w:pPr>
      <w:r>
        <w:rPr/>
      </w:r>
    </w:p>
    <w:p>
      <w:pPr>
        <w:pStyle w:val="Normal"/>
        <w:rPr/>
      </w:pPr>
      <w:r>
        <w:rPr/>
        <w:tab/>
        <w:t>4.</w:t>
        <w:tab/>
        <w:t>Entire Assignment Amendments and Waivers.  This Assignment constitutes the entire agreement between the parties hereto pertaining to the subject matter hereof and supersedes all prior agreements, understandings, negotiations and discussions, whether oral or written, of the parties, and there are no warranties, representations or other agreements between the parties in connection with the subject matter hereof except as set forth specifically herein or the Securities Purchase Agreement (but specifically subject to Section 7.1 and 7.10 thereof). No supplement, modification or waiver of this Assignment shall be binding unless executed in writing by the party to be bound thereby. The failure of a party to exercise any right or remedy shall not be deemed or constituted a waiver of such right or remedy in the future.  No waiver of any of the provisions of this Assignment shall be deemed or shall constitute a waiver of any other provision hereof, nor shall any such waiver constitute a continuing waiver unless otherwise expressly provided.</w:t>
      </w:r>
    </w:p>
    <w:p>
      <w:pPr>
        <w:pStyle w:val="Normal"/>
        <w:rPr/>
      </w:pPr>
      <w:r>
        <w:rPr/>
      </w:r>
    </w:p>
    <w:p>
      <w:pPr>
        <w:pStyle w:val="Normal"/>
        <w:rPr/>
      </w:pPr>
      <w:r>
        <w:rPr/>
        <w:tab/>
        <w:t>5.</w:t>
        <w:tab/>
        <w:t>Binding Effect; Assignment.  This Assignment shall be binding upon the Assignor and the Assignee, and their respective successors and permitted assigns.  Except as expressly provided in this Assignment, this Assignment shall not be construed so as to confer any right or benefit upon any Person other than the parties to this Assignment, and their respective successors and permitted assigns.</w:t>
      </w:r>
    </w:p>
    <w:p>
      <w:pPr>
        <w:pStyle w:val="Normal"/>
        <w:rPr/>
      </w:pPr>
      <w:r>
        <w:rPr/>
      </w:r>
    </w:p>
    <w:p>
      <w:pPr>
        <w:pStyle w:val="Normal"/>
        <w:rPr/>
      </w:pPr>
      <w:r>
        <w:rPr/>
        <w:tab/>
        <w:t>6.</w:t>
        <w:tab/>
        <w:t>Severability.  If any provision of the Assignment is rendered or declared illegal or unenforceable by reason of any existing or subsequently enacted legislation or by decree of a court of last resort, the Assignor and the Assignee shall promptly meet and negotiate substitute provisions for those rendered or declared illegal or unenforceable, and all of the remaining provisions of this Assignment shall remain in full force and effect.</w:t>
      </w:r>
    </w:p>
    <w:p>
      <w:pPr>
        <w:pStyle w:val="Normal"/>
        <w:rPr/>
      </w:pPr>
      <w:r>
        <w:rPr/>
      </w:r>
    </w:p>
    <w:p>
      <w:pPr>
        <w:pStyle w:val="Normal"/>
        <w:rPr/>
      </w:pPr>
      <w:r>
        <w:rPr/>
        <w:tab/>
        <w:t>7.</w:t>
        <w:tab/>
        <w:t xml:space="preserve">Headings.  The headings of the sections herein are inserted for convenience of reference only and are not intended to be a part of or to affect the meaning or interpretation of this Assignment. </w:t>
      </w:r>
    </w:p>
    <w:p>
      <w:pPr>
        <w:pStyle w:val="Normal"/>
        <w:rPr/>
      </w:pPr>
      <w:r>
        <w:rPr/>
      </w:r>
    </w:p>
    <w:p>
      <w:pPr>
        <w:pStyle w:val="Normal"/>
        <w:rPr/>
      </w:pPr>
      <w:r>
        <w:rPr/>
        <w:tab/>
        <w:t>8.</w:t>
        <w:tab/>
        <w:t>Execution.  This Assignment may be executed in multiple counterparts each of which shall be deemed an original and all of which shall constitute one instrument.</w:t>
      </w:r>
    </w:p>
    <w:p>
      <w:pPr>
        <w:pStyle w:val="Normal"/>
        <w:rPr/>
      </w:pPr>
      <w:r>
        <w:rPr/>
      </w:r>
    </w:p>
    <w:p>
      <w:pPr>
        <w:pStyle w:val="Normal"/>
        <w:rPr/>
      </w:pPr>
      <w:r>
        <w:rPr/>
        <w:tab/>
        <w:t>IN WITNESS WHEREOF, the parties have executed this Assignment to be effective as of the ___th day of _____________, 200__.</w:t>
      </w:r>
    </w:p>
    <w:p>
      <w:pPr>
        <w:pStyle w:val="Normal"/>
        <w:rPr/>
      </w:pPr>
      <w:r>
        <w:rPr/>
      </w:r>
    </w:p>
    <w:p>
      <w:pPr>
        <w:pStyle w:val="Normal"/>
        <w:rPr/>
      </w:pPr>
      <w:r>
        <w:rPr/>
      </w:r>
    </w:p>
    <w:p>
      <w:pPr>
        <w:pStyle w:val="Normal"/>
        <w:ind w:start="3600" w:end="0"/>
        <w:rPr>
          <w:b/>
        </w:rPr>
      </w:pPr>
      <w:r>
        <w:rPr>
          <w:b/>
        </w:rPr>
        <w:tab/>
        <w:tab/>
        <w:t>[ENRON NORTH AMERICA CORP.]</w:t>
      </w:r>
    </w:p>
    <w:p>
      <w:pPr>
        <w:pStyle w:val="Normal"/>
        <w:rPr>
          <w:b/>
        </w:rPr>
      </w:pPr>
      <w:r>
        <w:rPr>
          <w:b/>
        </w:rPr>
      </w:r>
    </w:p>
    <w:p>
      <w:pPr>
        <w:pStyle w:val="Normal"/>
        <w:rPr/>
      </w:pPr>
      <w:r>
        <w:rPr/>
        <w:tab/>
        <w:tab/>
        <w:tab/>
        <w:tab/>
        <w:tab/>
        <w:tab/>
        <w:tab/>
        <w:t>By:</w:t>
      </w:r>
      <w:r>
        <w:rPr>
          <w:u w:val="single"/>
        </w:rPr>
        <w:t xml:space="preserve"> </w:t>
        <w:tab/>
        <w:tab/>
        <w:tab/>
        <w:tab/>
        <w:tab/>
        <w:tab/>
      </w:r>
    </w:p>
    <w:p>
      <w:pPr>
        <w:pStyle w:val="Normal"/>
        <w:rPr/>
      </w:pPr>
      <w:r>
        <w:rPr/>
        <w:tab/>
        <w:tab/>
        <w:tab/>
        <w:tab/>
        <w:tab/>
        <w:tab/>
        <w:tab/>
        <w:t>Name:</w:t>
      </w:r>
      <w:r>
        <w:rPr>
          <w:u w:val="single"/>
        </w:rPr>
        <w:t xml:space="preserve"> </w:t>
        <w:tab/>
        <w:tab/>
        <w:tab/>
        <w:tab/>
        <w:tab/>
        <w:tab/>
      </w:r>
    </w:p>
    <w:p>
      <w:pPr>
        <w:pStyle w:val="Normal"/>
        <w:rPr/>
      </w:pPr>
      <w:r>
        <w:rPr/>
        <w:tab/>
        <w:tab/>
        <w:tab/>
        <w:tab/>
        <w:tab/>
        <w:tab/>
        <w:tab/>
        <w:t xml:space="preserve">Title: </w:t>
      </w:r>
      <w:r>
        <w:rPr>
          <w:u w:val="single"/>
        </w:rPr>
        <w:tab/>
        <w:tab/>
        <w:tab/>
        <w:tab/>
        <w:tab/>
        <w:tab/>
      </w:r>
    </w:p>
    <w:p>
      <w:pPr>
        <w:pStyle w:val="Normal"/>
        <w:rPr>
          <w:b/>
          <w:u w:val="single"/>
        </w:rPr>
      </w:pPr>
      <w:r>
        <w:rPr>
          <w:b/>
          <w:u w:val="single"/>
        </w:rPr>
      </w:r>
    </w:p>
    <w:p>
      <w:pPr>
        <w:pStyle w:val="Normal"/>
        <w:rPr>
          <w:b/>
        </w:rPr>
      </w:pPr>
      <w:r>
        <w:rPr>
          <w:b/>
        </w:rPr>
      </w:r>
    </w:p>
    <w:p>
      <w:pPr>
        <w:pStyle w:val="Normal"/>
        <w:rPr>
          <w:b/>
        </w:rPr>
      </w:pPr>
      <w:r>
        <w:rPr>
          <w:b/>
        </w:rPr>
      </w:r>
    </w:p>
    <w:p>
      <w:pPr>
        <w:pStyle w:val="Normal"/>
        <w:ind w:firstLine="720" w:start="2880" w:end="0"/>
        <w:rPr>
          <w:b/>
        </w:rPr>
      </w:pPr>
      <w:r>
        <w:rPr>
          <w:b/>
        </w:rPr>
        <w:tab/>
        <w:tab/>
        <w:t>COASTAL POWER CORPORATION</w:t>
      </w:r>
    </w:p>
    <w:p>
      <w:pPr>
        <w:pStyle w:val="Normal"/>
        <w:rPr>
          <w:b/>
        </w:rPr>
      </w:pPr>
      <w:r>
        <w:rPr>
          <w:b/>
        </w:rPr>
      </w:r>
    </w:p>
    <w:p>
      <w:pPr>
        <w:pStyle w:val="Normal"/>
        <w:rPr/>
      </w:pPr>
      <w:r>
        <w:rPr/>
        <w:tab/>
        <w:tab/>
        <w:tab/>
        <w:tab/>
        <w:tab/>
        <w:tab/>
        <w:tab/>
        <w:t>By:</w:t>
      </w:r>
      <w:r>
        <w:rPr>
          <w:u w:val="single"/>
        </w:rPr>
        <w:t xml:space="preserve"> </w:t>
        <w:tab/>
        <w:tab/>
        <w:tab/>
        <w:tab/>
        <w:tab/>
        <w:tab/>
      </w:r>
    </w:p>
    <w:p>
      <w:pPr>
        <w:pStyle w:val="Normal"/>
        <w:rPr/>
      </w:pPr>
      <w:r>
        <w:rPr/>
        <w:tab/>
        <w:tab/>
        <w:tab/>
        <w:tab/>
        <w:tab/>
        <w:tab/>
        <w:tab/>
        <w:t>Name:</w:t>
      </w:r>
      <w:r>
        <w:rPr>
          <w:u w:val="single"/>
        </w:rPr>
        <w:t xml:space="preserve"> </w:t>
        <w:tab/>
        <w:tab/>
        <w:tab/>
        <w:tab/>
        <w:tab/>
        <w:tab/>
      </w:r>
    </w:p>
    <w:p>
      <w:pPr>
        <w:pStyle w:val="Normal"/>
        <w:rPr/>
      </w:pPr>
      <w:r>
        <w:rPr/>
        <w:tab/>
        <w:tab/>
        <w:tab/>
        <w:tab/>
        <w:tab/>
        <w:tab/>
        <w:tab/>
        <w:t>Title:</w:t>
      </w:r>
      <w:r>
        <w:rPr>
          <w:u w:val="single"/>
        </w:rPr>
        <w:t xml:space="preserve"> </w:t>
        <w:tab/>
        <w:tab/>
        <w:tab/>
        <w:tab/>
        <w:tab/>
        <w:tab/>
      </w:r>
    </w:p>
    <w:p>
      <w:pPr>
        <w:pStyle w:val="Normal"/>
        <w:tabs>
          <w:tab w:val="clear" w:pos="720"/>
          <w:tab w:val="right" w:pos="9360" w:leader="none"/>
        </w:tabs>
        <w:spacing w:lineRule="auto" w:line="214"/>
        <w:jc w:val="center"/>
        <w:rPr>
          <w:u w:val="single"/>
        </w:rPr>
      </w:pPr>
      <w:r>
        <w:rPr>
          <w:u w:val="single"/>
        </w:rPr>
      </w:r>
      <w:r>
        <w:br w:type="page"/>
      </w:r>
    </w:p>
    <w:p>
      <w:pPr>
        <w:pStyle w:val="Normal"/>
        <w:tabs>
          <w:tab w:val="clear" w:pos="720"/>
          <w:tab w:val="right" w:pos="9360" w:leader="none"/>
        </w:tabs>
        <w:spacing w:lineRule="auto" w:line="214"/>
        <w:jc w:val="center"/>
        <w:rPr>
          <w:b/>
        </w:rPr>
      </w:pPr>
      <w:r>
        <w:rPr>
          <w:b/>
        </w:rPr>
        <w:t>EXHIBIT B</w:t>
      </w:r>
    </w:p>
    <w:p>
      <w:pPr>
        <w:pStyle w:val="Normal"/>
        <w:tabs>
          <w:tab w:val="clear" w:pos="720"/>
          <w:tab w:val="right" w:pos="9360" w:leader="none"/>
        </w:tabs>
        <w:spacing w:lineRule="auto" w:line="214"/>
        <w:jc w:val="center"/>
        <w:rPr>
          <w:b/>
        </w:rPr>
      </w:pPr>
      <w:r>
        <w:rPr>
          <w:b/>
        </w:rPr>
      </w:r>
    </w:p>
    <w:p>
      <w:pPr>
        <w:pStyle w:val="ARTICLE"/>
        <w:keepNext w:val="false"/>
        <w:numPr>
          <w:ilvl w:val="0"/>
          <w:numId w:val="0"/>
        </w:numPr>
        <w:tabs>
          <w:tab w:val="clear" w:pos="720"/>
          <w:tab w:val="left" w:pos="3690" w:leader="none"/>
          <w:tab w:val="right" w:pos="9360" w:leader="none"/>
        </w:tabs>
        <w:spacing w:lineRule="auto" w:line="214" w:before="0" w:after="0"/>
        <w:ind w:hanging="0" w:start="0"/>
        <w:outlineLvl w:val="9"/>
        <w:rPr>
          <w:b/>
        </w:rPr>
      </w:pPr>
      <w:r>
        <w:rPr>
          <w:b/>
        </w:rPr>
        <w:t>CONFIDENTIALITY AGREEMENT</w:t>
      </w:r>
    </w:p>
    <w:sectPr>
      <w:headerReference w:type="default" r:id="rId14"/>
      <w:headerReference w:type="first" r:id="rId15"/>
      <w:footerReference w:type="default" r:id="rId16"/>
      <w:footerReference w:type="first" r:id="rId17"/>
      <w:type w:val="nextPage"/>
      <w:pgSz w:w="12240" w:h="15840"/>
      <w:pgMar w:left="1440" w:right="1440" w:gutter="0" w:header="2160" w:top="221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G Times">
    <w:charset w:val="00" w:characterSet="windows-1252"/>
    <w:family w:val="roman"/>
    <w:pitch w:val="variable"/>
  </w:font>
  <w:font w:name="Tahoma">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720"/>
      <w:rPr/>
    </w:pPr>
    <w:r>
      <w:rPr/>
    </w:r>
  </w:p>
  <w:p>
    <w:pPr>
      <w:pStyle w:val="Normal"/>
      <w:rPr>
        <w:sz w:val="14"/>
      </w:rPr>
    </w:pPr>
    <w:r>
      <w:rPr>
        <w:sz w:val="14"/>
      </w:rPr>
      <w:t>BROWCC\027326\000288</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75260"/>
              <wp:effectExtent l="0" t="0" r="0" b="0"/>
              <wp:wrapTopAndBottom/>
              <wp:docPr id="3" name="Frame1"/>
              <a:graphic xmlns:a="http://schemas.openxmlformats.org/drawingml/2006/main">
                <a:graphicData uri="http://schemas.microsoft.com/office/word/2010/wordprocessingShape">
                  <wps:wsp>
                    <wps:cNvSpPr txBox="1"/>
                    <wps:spPr>
                      <a:xfrm>
                        <a:off x="0" y="0"/>
                        <a:ext cx="5943600" cy="175260"/>
                      </a:xfrm>
                      <a:prstGeom prst="rect"/>
                      <a:solidFill>
                        <a:srgbClr val="FFFFFF">
                          <a:alpha val="0"/>
                        </a:srgbClr>
                      </a:solidFill>
                    </wps:spPr>
                    <wps:txbx>
                      <w:txbxContent>
                        <w:p>
                          <w:pPr>
                            <w:pStyle w:val="Normal"/>
                            <w:tabs>
                              <w:tab w:val="clear" w:pos="720"/>
                              <w:tab w:val="center" w:pos="4680" w:leader="none"/>
                            </w:tabs>
                            <w:rPr/>
                          </w:pPr>
                          <w:r>
                            <w:rPr/>
                            <w:tab/>
                            <w:t>-</w:t>
                          </w:r>
                          <w:r>
                            <w:rPr/>
                            <w:fldChar w:fldCharType="begin"/>
                          </w:r>
                          <w:r>
                            <w:rPr/>
                            <w:instrText xml:space="preserve"> PAGE </w:instrText>
                          </w:r>
                          <w:r>
                            <w:rPr/>
                            <w:fldChar w:fldCharType="separate"/>
                          </w:r>
                          <w:r>
                            <w:rPr/>
                            <w:t>ii</w:t>
                          </w:r>
                          <w:r>
                            <w:rPr/>
                            <w:fldChar w:fldCharType="end"/>
                          </w:r>
                          <w:r>
                            <w:rPr/>
                            <w:t>-</w:t>
                          </w:r>
                        </w:p>
                      </w:txbxContent>
                    </wps:txbx>
                    <wps:bodyPr anchor="t" lIns="0" tIns="0" rIns="0" bIns="0">
                      <a:noAutofit/>
                    </wps:bodyPr>
                  </wps:wsp>
                </a:graphicData>
              </a:graphic>
            </wp:anchor>
          </w:drawing>
        </mc:Choice>
        <mc:Fallback>
          <w:pict>
            <v:rect fillcolor="#FFFFFF" style="position:absolute;rotation:-0;width:468pt;height:13.8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center" w:pos="4680" w:leader="none"/>
                      </w:tabs>
                      <w:rPr/>
                    </w:pPr>
                    <w:r>
                      <w:rPr/>
                      <w:tab/>
                      <w:t>-</w:t>
                    </w:r>
                    <w:r>
                      <w:rPr/>
                      <w:fldChar w:fldCharType="begin"/>
                    </w:r>
                    <w:r>
                      <w:rPr/>
                      <w:instrText xml:space="preserve"> PAGE </w:instrText>
                    </w:r>
                    <w:r>
                      <w:rPr/>
                      <w:fldChar w:fldCharType="separate"/>
                    </w:r>
                    <w:r>
                      <w:rPr/>
                      <w:t>ii</w:t>
                    </w:r>
                    <w:r>
                      <w:rPr/>
                      <w:fldChar w:fldCharType="end"/>
                    </w:r>
                    <w:r>
                      <w:rPr/>
                      <w:t>-</w:t>
                    </w:r>
                  </w:p>
                </w:txbxContent>
              </v:textbox>
              <w10:wrap type="topAndBottom"/>
            </v:rect>
          </w:pict>
        </mc:Fallback>
      </mc:AlternateContent>
    </w:r>
  </w:p>
  <w:p>
    <w:pPr>
      <w:pStyle w:val="Normal"/>
      <w:rPr>
        <w:sz w:val="14"/>
      </w:rPr>
    </w:pPr>
    <w:r>
      <w:rPr>
        <w:sz w:val="14"/>
      </w:rPr>
      <w:t>HOUSTON\</w:t>
    </w:r>
    <w:r>
      <w:rPr>
        <w:sz w:val="14"/>
      </w:rPr>
      <w:fldChar w:fldCharType="begin"/>
    </w:r>
    <w:r>
      <w:rPr>
        <w:sz w:val="14"/>
      </w:rPr>
      <w:instrText xml:space="preserve"> FILENAME </w:instrText>
    </w:r>
    <w:r>
      <w:rPr>
        <w:sz w:val="14"/>
      </w:rPr>
      <w:fldChar w:fldCharType="separate"/>
    </w:r>
    <w:r>
      <w:rPr>
        <w:sz w:val="14"/>
      </w:rPr>
      <w:t>SECURITI.doc</w:t>
    </w:r>
    <w:r>
      <w:rPr>
        <w:sz w:val="14"/>
      </w:rPr>
      <w:fldChar w:fldCharType="end"/>
    </w:r>
  </w:p>
  <w:p>
    <w:pPr>
      <w:pStyle w:val="Normal"/>
      <w:rPr/>
    </w:pPr>
    <w:r>
      <w:rPr>
        <w:sz w:val="14"/>
      </w:rPr>
      <w:fldChar w:fldCharType="begin"/>
    </w:r>
    <w:r>
      <w:rPr>
        <w:sz w:val="14"/>
      </w:rPr>
      <w:instrText xml:space="preserve"> DATE \@"M\/d\/yy" </w:instrText>
    </w:r>
    <w:r>
      <w:rPr>
        <w:sz w:val="14"/>
      </w:rPr>
      <w:fldChar w:fldCharType="separate"/>
    </w:r>
    <w:r>
      <w:rPr>
        <w:sz w:val="14"/>
      </w:rPr>
      <w:t>9/28/25</w:t>
    </w:r>
    <w:r>
      <w:rPr>
        <w:sz w:val="14"/>
      </w:rPr>
      <w:fldChar w:fldCharType="end"/>
    </w:r>
    <w:r>
      <w:rPr>
        <w:rFonts w:cs="WP TypographicSymbols" w:ascii="WP TypographicSymbols" w:hAnsi="WP TypographicSymbols"/>
        <w:sz w:val="14"/>
      </w:rPr>
      <w:t>B</w:t>
    </w:r>
    <w:r>
      <w:rPr>
        <w:sz w:val="14"/>
      </w:rPr>
      <w:fldChar w:fldCharType="begin"/>
    </w:r>
    <w:r>
      <w:rPr>
        <w:sz w:val="14"/>
      </w:rPr>
      <w:instrText xml:space="preserve"> TIME \@"H:mm\ AM/PM" </w:instrText>
    </w:r>
    <w:r>
      <w:rPr>
        <w:sz w:val="14"/>
      </w:rPr>
      <w:fldChar w:fldCharType="separate"/>
    </w:r>
    <w:r>
      <w:rPr>
        <w:sz w:val="14"/>
      </w:rPr>
      <w:t>9:13 AM</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rPr>
    </w:pPr>
    <w:r>
      <w:rPr/>
    </w:r>
  </w:p>
  <w:p>
    <w:pPr>
      <w:pStyle w:val="Normal"/>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p>
    <w:pPr>
      <w:pStyle w:val="Footer"/>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rPr>
    </w:pPr>
    <w:r>
      <w:rPr/>
    </w:r>
  </w:p>
  <w:p>
    <w:pPr>
      <w:pStyle w:val="Normal"/>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Style w:val="PageNumber"/>
        <w:sz w:val="16"/>
      </w:rPr>
      <w:t>BROWCC\027326\000288</w:t>
    </w:r>
  </w:p>
  <w:p>
    <w:pPr>
      <w:pStyle w:val="Normal"/>
      <w:jc w:val="center"/>
      <w:rPr/>
    </w:pPr>
    <w:r>
      <w:rPr>
        <w:rStyle w:val="PageNumber"/>
        <w:sz w:val="16"/>
      </w:rPr>
      <w:t>Houston \1192632.1</w:t>
    </w:r>
  </w:p>
  <w:p>
    <w:pPr>
      <w:pStyle w:val="Normal"/>
      <w:jc w:val="center"/>
      <w:rPr/>
    </w:pPr>
    <w:r>
      <w:rPr/>
      <w:t>A-</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 </w:t>
    </w:r>
    <w:r>
      <w:rPr>
        <w:sz w:val="16"/>
      </w:rPr>
      <w:t>Draft: For Discussion Purposes Only</w:t>
    </w:r>
  </w:p>
  <w:p>
    <w:pPr>
      <w:pStyle w:val="Header"/>
      <w:rPr>
        <w:sz w:val="16"/>
      </w:rPr>
    </w:pPr>
    <w:r>
      <w:rPr>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 </w:t>
    </w:r>
    <w:r>
      <w:rPr>
        <w:sz w:val="16"/>
      </w:rPr>
      <w:t>Draft: For Discussion Purposes Only</w:t>
    </w:r>
  </w:p>
  <w:p>
    <w:pPr>
      <w:pStyle w:val="Header"/>
      <w:rPr>
        <w:sz w:val="16"/>
      </w:rPr>
    </w:pPr>
    <w:r>
      <w:rPr>
        <w:sz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 </w:t>
    </w:r>
    <w:r>
      <w:rPr>
        <w:sz w:val="16"/>
      </w:rPr>
      <w:t>Draft: For Discussion Purposes Only</w:t>
    </w:r>
  </w:p>
  <w:p>
    <w:pPr>
      <w:pStyle w:val="Header"/>
      <w:rPr>
        <w:sz w:val="16"/>
      </w:rPr>
    </w:pPr>
    <w:r>
      <w:rPr>
        <w:sz w:val="1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 xml:space="preserve"> </w:t>
      <w:tab/>
    </w:r>
    <w:r>
      <w:rPr>
        <w:sz w:val="16"/>
      </w:rPr>
      <w:t>Draft for Discussion Purposes Only</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 </w:t>
    </w:r>
    <w:r>
      <w:rPr>
        <w:sz w:val="16"/>
      </w:rPr>
      <w:t>Draft: For Discussion Purposes Only</w:t>
    </w:r>
  </w:p>
  <w:p>
    <w:pPr>
      <w:pStyle w:val="Header"/>
      <w:rPr>
        <w:sz w:val="16"/>
      </w:rPr>
    </w:pPr>
    <w:r>
      <w:rPr>
        <w:sz w:val="16"/>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 </w:t>
    </w:r>
    <w:r>
      <w:rPr>
        <w:sz w:val="16"/>
      </w:rPr>
      <w:t>Draft: For Discussion Purposes Only</w:t>
    </w:r>
  </w:p>
  <w:p>
    <w:pPr>
      <w:pStyle w:val="Header"/>
      <w:rPr>
        <w:sz w:val="16"/>
      </w:rPr>
    </w:pPr>
    <w:r>
      <w:rPr>
        <w:sz w:val="16"/>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upperLetter"/>
      <w:lvlText w:val="%1."/>
      <w:lvlJc w:val="start"/>
      <w:pPr>
        <w:tabs>
          <w:tab w:val="num" w:pos="1185"/>
        </w:tabs>
        <w:ind w:start="1185" w:hanging="465"/>
      </w:pPr>
      <w:rPr/>
    </w:lvl>
  </w:abstractNum>
  <w:abstractNum w:abstractNumId="3">
    <w:lvl w:ilvl="0">
      <w:start w:val="1"/>
      <w:numFmt w:val="upperRoman"/>
      <w:suff w:val="space"/>
      <w:lvlText w:val="ARTICLE %1"/>
      <w:lvlJc w:val="center"/>
      <w:pPr>
        <w:tabs>
          <w:tab w:val="num" w:pos="0"/>
        </w:tabs>
        <w:ind w:start="360" w:hanging="72"/>
      </w:pPr>
    </w:lvl>
    <w:lvl w:ilvl="1">
      <w:start w:val="1"/>
      <w:isLgl/>
      <w:numFmt w:val="decimal"/>
      <w:lvlText w:val="Section %1.%2"/>
      <w:lvlJc w:val="start"/>
      <w:pPr>
        <w:tabs>
          <w:tab w:val="num" w:pos="1800"/>
        </w:tabs>
        <w:ind w:start="0" w:firstLine="720"/>
      </w:pPr>
    </w:lvl>
    <w:lvl w:ilvl="2">
      <w:start w:val="1"/>
      <w:numFmt w:val="lowerLetter"/>
      <w:lvlText w:val="(%3)"/>
      <w:lvlJc w:val="start"/>
      <w:pPr>
        <w:tabs>
          <w:tab w:val="num" w:pos="1800"/>
        </w:tabs>
        <w:ind w:start="720" w:firstLine="720"/>
      </w:pPr>
    </w:lvl>
    <w:lvl w:ilvl="3">
      <w:start w:val="1"/>
      <w:numFmt w:val="lowerRoman"/>
      <w:lvlText w:val="(%4)"/>
      <w:lvlJc w:val="start"/>
      <w:pPr>
        <w:tabs>
          <w:tab w:val="num" w:pos="2160"/>
        </w:tabs>
        <w:ind w:start="720" w:firstLine="720"/>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4">
    <w:lvl w:ilvl="0">
      <w:start w:val="1"/>
      <w:numFmt w:val="upperRoman"/>
      <w:suff w:val="nothing"/>
      <w:lvlText w:val="ARTICLE %1"/>
      <w:lvlJc w:val="start"/>
      <w:pPr>
        <w:tabs>
          <w:tab w:val="num" w:pos="0"/>
        </w:tabs>
        <w:ind w:start="0" w:hanging="0"/>
      </w:pPr>
      <w:rPr>
        <w:i w:val="false"/>
        <w:b/>
      </w:rPr>
    </w:lvl>
    <w:lvl w:ilvl="1">
      <w:start w:val="1"/>
      <w:isLgl/>
      <w:numFmt w:val="decimal"/>
      <w:lvlText w:val="Section %1.%2"/>
      <w:lvlJc w:val="start"/>
      <w:pPr>
        <w:tabs>
          <w:tab w:val="num" w:pos="2160"/>
        </w:tabs>
        <w:ind w:start="0" w:firstLine="720"/>
      </w:pPr>
      <w:rPr>
        <w:i w:val="false"/>
        <w:b/>
      </w:rPr>
    </w:lvl>
    <w:lvl w:ilvl="2">
      <w:start w:val="1"/>
      <w:numFmt w:val="lowerLetter"/>
      <w:lvlText w:val="(%3)"/>
      <w:lvlJc w:val="start"/>
      <w:pPr>
        <w:tabs>
          <w:tab w:val="num" w:pos="1080"/>
        </w:tabs>
        <w:ind w:start="0" w:firstLine="720"/>
      </w:pPr>
    </w:lvl>
    <w:lvl w:ilvl="3">
      <w:start w:val="1"/>
      <w:numFmt w:val="lowerRoman"/>
      <w:lvlText w:val="(%4)"/>
      <w:lvlJc w:val="start"/>
      <w:pPr>
        <w:tabs>
          <w:tab w:val="num" w:pos="2160"/>
        </w:tabs>
        <w:ind w:start="720" w:firstLine="720"/>
      </w:pPr>
      <w:rPr>
        <w:i w:val="false"/>
        <w:b w:val="false"/>
      </w:rPr>
    </w:lvl>
    <w:lvl w:ilvl="4">
      <w:start w:val="1"/>
      <w:numFmt w:val="upperLetter"/>
      <w:lvlText w:val="(%5)"/>
      <w:lvlJc w:val="start"/>
      <w:pPr>
        <w:tabs>
          <w:tab w:val="num" w:pos="2520"/>
        </w:tabs>
        <w:ind w:start="1440" w:firstLine="720"/>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5">
    <w:lvl w:ilvl="0">
      <w:start w:val="1"/>
      <w:numFmt w:val="upperRoman"/>
      <w:suff w:val="nothing"/>
      <w:lvlText w:val="ARTICLE %1"/>
      <w:lvlJc w:val="start"/>
      <w:pPr>
        <w:tabs>
          <w:tab w:val="num" w:pos="0"/>
        </w:tabs>
        <w:ind w:start="0" w:hanging="0"/>
      </w:pPr>
      <w:rPr>
        <w:sz w:val="24"/>
        <w:i w:val="false"/>
        <w:b w:val="false"/>
      </w:rPr>
    </w:lvl>
    <w:lvl w:ilvl="1">
      <w:start w:val="1"/>
      <w:isLgl/>
      <w:numFmt w:val="decimal"/>
      <w:lvlText w:val="Section %1.%2"/>
      <w:lvlJc w:val="start"/>
      <w:pPr>
        <w:tabs>
          <w:tab w:val="num" w:pos="1800"/>
        </w:tabs>
        <w:ind w:start="0" w:firstLine="720"/>
      </w:pPr>
      <w:rPr>
        <w:i w:val="false"/>
        <w:b w:val="false"/>
        <w:rFonts w:ascii="Times New Roman" w:hAnsi="Times New Roman" w:cs="Times New Roman"/>
      </w:rPr>
    </w:lvl>
    <w:lvl w:ilvl="2">
      <w:start w:val="1"/>
      <w:numFmt w:val="lowerLetter"/>
      <w:lvlText w:val="(%3)"/>
      <w:lvlJc w:val="start"/>
      <w:pPr>
        <w:tabs>
          <w:tab w:val="num" w:pos="1080"/>
        </w:tabs>
        <w:ind w:start="0" w:firstLine="720"/>
      </w:pPr>
      <w:rPr>
        <w:i w:val="false"/>
        <w:b w:val="false"/>
      </w:rPr>
    </w:lvl>
    <w:lvl w:ilvl="3">
      <w:start w:val="1"/>
      <w:numFmt w:val="lowerRoman"/>
      <w:lvlText w:val="(%4)"/>
      <w:lvlJc w:val="start"/>
      <w:pPr>
        <w:tabs>
          <w:tab w:val="num" w:pos="2160"/>
        </w:tabs>
        <w:ind w:start="720" w:firstLine="720"/>
      </w:pPr>
      <w:rPr>
        <w:i w:val="false"/>
        <w:b w:val="false"/>
      </w:r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5"/>
      </w:numPr>
      <w:spacing w:before="0" w:after="240"/>
      <w:outlineLvl w:val="0"/>
    </w:pPr>
    <w:rPr>
      <w:kern w:val="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style>
  <w:style w:type="character" w:styleId="WW8Num3z0">
    <w:name w:val="WW8Num3z0"/>
    <w:qFormat/>
    <w:rPr/>
  </w:style>
  <w:style w:type="character" w:styleId="WW8Num4z0">
    <w:name w:val="WW8Num4z0"/>
    <w:qFormat/>
    <w:rPr>
      <w:b w:val="false"/>
      <w:i w:val="false"/>
      <w:sz w:val="24"/>
    </w:rPr>
  </w:style>
  <w:style w:type="character" w:styleId="WW8Num4z1">
    <w:name w:val="WW8Num4z1"/>
    <w:qFormat/>
    <w:rPr>
      <w:rFonts w:ascii="Times New Roman" w:hAnsi="Times New Roman" w:cs="Times New Roman"/>
      <w:b w:val="false"/>
      <w:i w:val="false"/>
    </w:rPr>
  </w:style>
  <w:style w:type="character" w:styleId="WW8Num4z3">
    <w:name w:val="WW8Num4z3"/>
    <w:qFormat/>
    <w:rPr>
      <w:b w:val="false"/>
      <w:i w:val="fals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b/>
      <w:i w:val="false"/>
    </w:rPr>
  </w:style>
  <w:style w:type="character" w:styleId="WW8Num10z3">
    <w:name w:val="WW8Num10z3"/>
    <w:qFormat/>
    <w:rPr>
      <w:b w:val="false"/>
      <w:i w:val="false"/>
    </w:rPr>
  </w:style>
  <w:style w:type="character" w:styleId="WW8Num11z0">
    <w:name w:val="WW8Num11z0"/>
    <w:qFormat/>
    <w:rPr>
      <w:b/>
      <w:i w:val="false"/>
    </w:rPr>
  </w:style>
  <w:style w:type="character" w:styleId="WW8Num11z3">
    <w:name w:val="WW8Num11z3"/>
    <w:qFormat/>
    <w:rPr>
      <w:b w:val="false"/>
      <w:i w:val="false"/>
    </w:rPr>
  </w:style>
  <w:style w:type="character" w:styleId="WW8Num12z0">
    <w:name w:val="WW8Num12z0"/>
    <w:qFormat/>
    <w:rPr>
      <w:rFonts w:ascii="Wingdings" w:hAnsi="Wingdings" w:cs="Wingdings"/>
    </w:rPr>
  </w:style>
  <w:style w:type="character" w:styleId="WW8Num13z0">
    <w:name w:val="WW8Num13z0"/>
    <w:qFormat/>
    <w:rPr>
      <w:b w:val="false"/>
      <w:i w:val="false"/>
      <w:sz w:val="24"/>
    </w:rPr>
  </w:style>
  <w:style w:type="character" w:styleId="WW8Num13z1">
    <w:name w:val="WW8Num13z1"/>
    <w:qFormat/>
    <w:rPr>
      <w:rFonts w:ascii="Times New Roman" w:hAnsi="Times New Roman" w:cs="Times New Roman"/>
      <w:b w:val="false"/>
      <w:i w:val="false"/>
    </w:rPr>
  </w:style>
  <w:style w:type="character" w:styleId="WW8Num13z2">
    <w:name w:val="WW8Num13z2"/>
    <w:qFormat/>
    <w:rPr>
      <w:b w:val="false"/>
      <w:i w:val="false"/>
    </w:rPr>
  </w:style>
  <w:style w:type="character" w:styleId="WW8Num14z0">
    <w:name w:val="WW8Num14z0"/>
    <w:qFormat/>
    <w:rPr/>
  </w:style>
  <w:style w:type="character" w:styleId="WW8Num15z0">
    <w:name w:val="WW8Num15z0"/>
    <w:qFormat/>
    <w:rPr>
      <w:b w:val="false"/>
      <w:i w:val="false"/>
      <w:sz w:val="24"/>
    </w:rPr>
  </w:style>
  <w:style w:type="character" w:styleId="WW8Num15z1">
    <w:name w:val="WW8Num15z1"/>
    <w:qFormat/>
    <w:rPr>
      <w:rFonts w:ascii="Times New Roman" w:hAnsi="Times New Roman" w:cs="Times New Roman"/>
      <w:b w:val="false"/>
      <w:i w:val="false"/>
    </w:rPr>
  </w:style>
  <w:style w:type="character" w:styleId="WW8Num15z2">
    <w:name w:val="WW8Num15z2"/>
    <w:qFormat/>
    <w:rPr>
      <w:b w:val="false"/>
      <w:i w:val="false"/>
    </w:rPr>
  </w:style>
  <w:style w:type="character" w:styleId="WW8Num17z0">
    <w:name w:val="WW8Num17z0"/>
    <w:qFormat/>
    <w:rPr>
      <w:b/>
      <w:i w:val="false"/>
    </w:rPr>
  </w:style>
  <w:style w:type="character" w:styleId="WW8Num17z3">
    <w:name w:val="WW8Num17z3"/>
    <w:qFormat/>
    <w:rPr>
      <w:b w:val="false"/>
      <w:i w:val="false"/>
    </w:rPr>
  </w:style>
  <w:style w:type="character" w:styleId="WW8Num20z0">
    <w:name w:val="WW8Num20z0"/>
    <w:qFormat/>
    <w:rPr/>
  </w:style>
  <w:style w:type="character" w:styleId="WW8Num22z1">
    <w:name w:val="WW8Num22z1"/>
    <w:qFormat/>
    <w:rPr>
      <w:rFonts w:ascii="CG Times" w:hAnsi="CG Times" w:cs="CG Times"/>
      <w:b w:val="false"/>
      <w:i w:val="false"/>
      <w:color w:val="000000"/>
      <w:sz w:val="24"/>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Normal"/>
    <w:pPr>
      <w:numPr>
        <w:ilvl w:val="0"/>
        <w:numId w:val="5"/>
      </w:numPr>
      <w:spacing w:before="0" w:after="24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widowControl w:val="false"/>
      <w:tabs>
        <w:tab w:val="clear" w:pos="720"/>
        <w:tab w:val="left" w:pos="1440" w:leader="none"/>
        <w:tab w:val="right" w:pos="9350" w:leader="dot"/>
      </w:tabs>
      <w:spacing w:before="240" w:after="0"/>
      <w:ind w:hanging="720" w:start="720" w:end="0"/>
    </w:pPr>
    <w:rPr>
      <w:sz w:val="22"/>
      <w:lang w:val="en-CA"/>
    </w:rPr>
  </w:style>
  <w:style w:type="paragraph" w:styleId="TOC2">
    <w:name w:val="toc 2"/>
    <w:basedOn w:val="Normal"/>
    <w:next w:val="Normal"/>
    <w:pPr>
      <w:widowControl w:val="false"/>
      <w:tabs>
        <w:tab w:val="clear" w:pos="720"/>
        <w:tab w:val="left" w:pos="1440" w:leader="none"/>
        <w:tab w:val="left" w:pos="2160" w:leader="none"/>
        <w:tab w:val="right" w:pos="9350" w:leader="dot"/>
      </w:tabs>
      <w:ind w:hanging="720" w:start="1440" w:end="0"/>
    </w:pPr>
    <w:rPr>
      <w:lang w:val="en-CA"/>
    </w:rPr>
  </w:style>
  <w:style w:type="paragraph" w:styleId="DocumentMap">
    <w:name w:val="Document Map"/>
    <w:basedOn w:val="Normal"/>
    <w:qFormat/>
    <w:pPr>
      <w:shd w:fill="000080" w:val="clear"/>
    </w:pPr>
    <w:rPr>
      <w:rFonts w:ascii="Tahoma" w:hAnsi="Tahoma" w:cs="Tahoma"/>
    </w:rPr>
  </w:style>
  <w:style w:type="paragraph" w:styleId="ArticleHeading">
    <w:name w:val="Article Heading"/>
    <w:basedOn w:val="Normal"/>
    <w:qFormat/>
    <w:pPr>
      <w:keepNext w:val="true"/>
      <w:keepLines/>
      <w:numPr>
        <w:ilvl w:val="0"/>
        <w:numId w:val="3"/>
      </w:numPr>
      <w:tabs>
        <w:tab w:val="clear" w:pos="720"/>
        <w:tab w:val="center" w:pos="4680" w:leader="none"/>
      </w:tabs>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jc w:val="both"/>
    </w:pPr>
    <w:rPr/>
  </w:style>
  <w:style w:type="paragraph" w:styleId="BodyTextIndent2">
    <w:name w:val="Body Text Indent 2"/>
    <w:basedOn w:val="Normal"/>
    <w:qFormat/>
    <w:pPr>
      <w:ind w:firstLine="720" w:start="720" w:end="0"/>
      <w:jc w:val="both"/>
    </w:pPr>
    <w:rPr>
      <w:b/>
    </w:rPr>
  </w:style>
  <w:style w:type="paragraph" w:styleId="ARTICLE">
    <w:name w:val="ARTICLE"/>
    <w:basedOn w:val="Normal"/>
    <w:qFormat/>
    <w:pPr>
      <w:keepNext w:val="true"/>
      <w:numPr>
        <w:ilvl w:val="0"/>
        <w:numId w:val="5"/>
      </w:numPr>
      <w:spacing w:before="120" w:after="240"/>
      <w:jc w:val="center"/>
      <w:outlineLvl w:val="0"/>
    </w:pPr>
    <w:rPr/>
  </w:style>
  <w:style w:type="paragraph" w:styleId="Section">
    <w:name w:val="Section"/>
    <w:basedOn w:val="Normal"/>
    <w:qFormat/>
    <w:pPr>
      <w:spacing w:before="0" w:after="240"/>
      <w:jc w:val="both"/>
      <w:outlineLvl w:val="1"/>
    </w:pPr>
    <w:rPr/>
  </w:style>
  <w:style w:type="paragraph" w:styleId="ListNumber">
    <w:name w:val="List Number"/>
    <w:basedOn w:val="Normal"/>
    <w:qFormat/>
    <w:pPr>
      <w:numPr>
        <w:ilvl w:val="0"/>
        <w:numId w:val="4"/>
      </w:numPr>
      <w:spacing w:before="0" w:after="240"/>
      <w:jc w:val="both"/>
      <w:outlineLvl w:val="2"/>
    </w:pPr>
    <w:rPr/>
  </w:style>
  <w:style w:type="paragraph" w:styleId="ListBullet2">
    <w:name w:val="List Bullet 2"/>
    <w:basedOn w:val="Normal"/>
    <w:pPr>
      <w:numPr>
        <w:ilvl w:val="0"/>
        <w:numId w:val="5"/>
      </w:numPr>
      <w:spacing w:before="0" w:after="240"/>
      <w:outlineLvl w:val="3"/>
    </w:pPr>
    <w:rPr/>
  </w:style>
  <w:style w:type="paragraph" w:styleId="BodyTextFirstIndent">
    <w:name w:val="Body Text First Indent"/>
    <w:basedOn w:val="BodyText"/>
    <w:qFormat/>
    <w:pPr>
      <w:spacing w:before="0" w:after="240"/>
      <w:ind w:firstLine="720" w:start="0" w:end="0"/>
      <w:jc w:val="both"/>
    </w:pPr>
    <w:rPr/>
  </w:style>
  <w:style w:type="paragraph" w:styleId="BodyTextFirstIndent2">
    <w:name w:val="Body Text First Indent 2"/>
    <w:basedOn w:val="BodyTextIndent"/>
    <w:qFormat/>
    <w:pPr>
      <w:spacing w:before="0" w:after="120"/>
      <w:ind w:firstLine="210" w:start="360" w:end="0"/>
      <w:jc w:val="start"/>
    </w:pPr>
    <w:rPr/>
  </w:style>
  <w:style w:type="paragraph" w:styleId="BodyTextIndent3">
    <w:name w:val="Body Text Indent 3"/>
    <w:basedOn w:val="Normal"/>
    <w:qFormat/>
    <w:pPr>
      <w:widowControl w:val="false"/>
      <w:autoSpaceDE w:val="false"/>
      <w:ind w:hanging="0" w:start="720" w:end="0"/>
      <w:jc w:val="both"/>
    </w:pPr>
    <w:rPr/>
  </w:style>
  <w:style w:type="paragraph" w:styleId="BodyText2">
    <w:name w:val="Body Text 2"/>
    <w:basedOn w:val="Normal"/>
    <w:qFormat/>
    <w:pPr>
      <w:autoSpaceDE w:val="false"/>
      <w:jc w:val="both"/>
    </w:pPr>
    <w:rPr>
      <w:sz w:val="20"/>
    </w:rPr>
  </w:style>
  <w:style w:type="paragraph" w:styleId="BodyText3">
    <w:name w:val="Body Text 3"/>
    <w:basedOn w:val="Normal"/>
    <w:qFormat/>
    <w:pPr>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2000-12-01T20:53:00Z</dcterms:created>
  <dc:creator>Bracewell &amp; Patterson, LLP</dc:creator>
  <dc:description/>
  <dc:language>en-CA</dc:language>
  <cp:lastModifiedBy>Bracewell &amp; Patterson, LLP</cp:lastModifiedBy>
  <cp:lastPrinted>2000-12-01T17:23:00Z</cp:lastPrinted>
  <dcterms:modified xsi:type="dcterms:W3CDTF">2000-12-01T20:53:00Z</dcterms:modified>
  <cp:revision>3</cp:revision>
  <dc:subject/>
  <dc:title> </dc:title>
</cp:coreProperties>
</file>