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start="5472" w:end="0"/>
        <w:rPr/>
      </w:pPr>
      <w:bookmarkStart w:id="0" w:name="ClientMemo"/>
      <w:r>
        <w:rPr/>
        <w:t>August 10, 2000</w:t>
      </w:r>
    </w:p>
    <w:p>
      <w:pPr>
        <w:pStyle w:val="Normal"/>
        <w:spacing w:before="0" w:after="360"/>
        <w:jc w:val="center"/>
        <w:rPr>
          <w:u w:val="single"/>
        </w:rPr>
      </w:pPr>
      <w:r>
        <w:rPr>
          <w:u w:val="single"/>
        </w:rPr>
        <w:t>SEC Adopts Rules to Ban Selective Disclosure and Clarify Insider Trading Laws</w:t>
      </w:r>
    </w:p>
    <w:p>
      <w:pPr>
        <w:pStyle w:val="BodyText"/>
        <w:ind w:firstLine="720" w:end="0"/>
        <w:rPr/>
      </w:pPr>
      <w:bookmarkStart w:id="1" w:name="ClientMemo_BeginTyping"/>
      <w:bookmarkEnd w:id="1"/>
      <w:r>
        <w:rPr/>
        <w:t>By a three to one vote, the SEC today adopted proposed Regulation FD (Fair Disclosure), to ban selective disclosure of material information.  The Commission also voted to adopt previously proposed rules 10b5-1 and 10b5-2 to clarify certain aspects of insider trading liability.  (See our memo of December 16, 1999.)  The new rules will become effective 60 days following publication in the Federal Register.  The text of the rules as adopted has not yet been published or released.</w:t>
      </w:r>
    </w:p>
    <w:p>
      <w:pPr>
        <w:pStyle w:val="BodyText"/>
        <w:spacing w:before="0" w:after="180"/>
        <w:ind w:firstLine="720" w:end="0"/>
        <w:rPr/>
      </w:pPr>
      <w:r>
        <w:rPr/>
        <w:t>Regulation FD, as adopted, carries forward the fundamental elements of the proposed regulation announced last December, to bar companies from selectively disclosing material information.  The core of Regulation FD requires that: (1) whenever an issuer intentionally discloses material information, it do so through public disclosure, not through selective disclosure; and (2) whenever an issuer learns that it has made a non-intentional material selective disclosure, it make prompt public disclosure of that information.  However, in response to concerns raised by market participants and others during the comment process, Regulation FD as adopted has been narrowed in a number of important ways.  The SEC has announced that the changes include:</w:t>
      </w:r>
    </w:p>
    <w:p>
      <w:pPr>
        <w:pStyle w:val="Normal"/>
        <w:numPr>
          <w:ilvl w:val="0"/>
          <w:numId w:val="13"/>
        </w:numPr>
        <w:spacing w:before="0" w:after="180"/>
        <w:ind w:hanging="360" w:start="1080" w:end="576"/>
        <w:rPr>
          <w:sz w:val="22"/>
        </w:rPr>
      </w:pPr>
      <w:r>
        <w:rPr>
          <w:sz w:val="22"/>
        </w:rPr>
        <w:t xml:space="preserve">The regulation will apply only to communications with market professionals and holders of securities under circumstances in which it is reasonably foreseeable that the security holders will trade on the basis of the information.  The regulation will not apply to communications with the press, rating agencies, and ordinary-course business communications with customers and suppliers. </w:t>
      </w:r>
    </w:p>
    <w:p>
      <w:pPr>
        <w:pStyle w:val="Normal"/>
        <w:numPr>
          <w:ilvl w:val="0"/>
          <w:numId w:val="13"/>
        </w:numPr>
        <w:spacing w:before="0" w:after="180"/>
        <w:ind w:hanging="360" w:start="1080" w:end="576"/>
        <w:rPr>
          <w:sz w:val="22"/>
        </w:rPr>
      </w:pPr>
      <w:r>
        <w:rPr>
          <w:sz w:val="22"/>
        </w:rPr>
        <w:t xml:space="preserve">The regulation will apply only to communications by senior management, investor relations professionals, and others who regularly communicate with market professionals and security holders. </w:t>
      </w:r>
    </w:p>
    <w:p>
      <w:pPr>
        <w:pStyle w:val="Normal"/>
        <w:numPr>
          <w:ilvl w:val="0"/>
          <w:numId w:val="13"/>
        </w:numPr>
        <w:spacing w:before="0" w:after="180"/>
        <w:ind w:hanging="360" w:start="1080" w:end="576"/>
        <w:rPr>
          <w:sz w:val="22"/>
        </w:rPr>
      </w:pPr>
      <w:r>
        <w:rPr>
          <w:sz w:val="22"/>
        </w:rPr>
        <w:t>The regulation is a disclosure rule.  It does not create liability for fraud, nor private liability for companies solely as a result of a selective disclosure violation.  Violators do face administrative proceedings or civil actions by the SEC.</w:t>
      </w:r>
    </w:p>
    <w:p>
      <w:pPr>
        <w:pStyle w:val="Normal"/>
        <w:numPr>
          <w:ilvl w:val="0"/>
          <w:numId w:val="13"/>
        </w:numPr>
        <w:spacing w:before="0" w:after="180"/>
        <w:ind w:hanging="360" w:start="1080" w:end="576"/>
        <w:rPr>
          <w:b/>
          <w:sz w:val="22"/>
        </w:rPr>
      </w:pPr>
      <w:r>
        <w:rPr>
          <w:sz w:val="22"/>
        </w:rPr>
        <w:t xml:space="preserve">The regulation requires public disclosure only where the person making the selective disclosure knows or is reckless in not knowing that the information disclosed was both material and nonpublic. </w:t>
      </w:r>
    </w:p>
    <w:p>
      <w:pPr>
        <w:pStyle w:val="Normal"/>
        <w:numPr>
          <w:ilvl w:val="0"/>
          <w:numId w:val="13"/>
        </w:numPr>
        <w:spacing w:before="0" w:after="180"/>
        <w:ind w:hanging="360" w:start="1080" w:end="576"/>
        <w:rPr>
          <w:sz w:val="22"/>
        </w:rPr>
      </w:pPr>
      <w:r>
        <w:rPr>
          <w:sz w:val="22"/>
        </w:rPr>
        <w:t xml:space="preserve">The regulation excludes communications made in connection with most registered securities offerings. </w:t>
      </w:r>
    </w:p>
    <w:p>
      <w:pPr>
        <w:pStyle w:val="Normal"/>
        <w:numPr>
          <w:ilvl w:val="0"/>
          <w:numId w:val="13"/>
        </w:numPr>
        <w:spacing w:before="0" w:after="180"/>
        <w:ind w:hanging="360" w:start="1080" w:end="576"/>
        <w:rPr>
          <w:b/>
          <w:sz w:val="22"/>
        </w:rPr>
      </w:pPr>
      <w:r>
        <w:rPr>
          <w:sz w:val="22"/>
        </w:rPr>
        <w:t xml:space="preserve">The regulation does not apply to foreign issuers. </w:t>
      </w:r>
    </w:p>
    <w:p>
      <w:pPr>
        <w:pStyle w:val="Normal"/>
        <w:numPr>
          <w:ilvl w:val="0"/>
          <w:numId w:val="13"/>
        </w:numPr>
        <w:spacing w:before="0" w:after="180"/>
        <w:ind w:hanging="360" w:start="1080" w:end="576"/>
        <w:rPr>
          <w:sz w:val="22"/>
        </w:rPr>
      </w:pPr>
      <w:r>
        <w:rPr>
          <w:sz w:val="22"/>
        </w:rPr>
        <w:t xml:space="preserve">Violation will not disqualify a company from use of short-form registration or affect investors’ ability to resell under Rule 144. </w:t>
      </w:r>
    </w:p>
    <w:p>
      <w:pPr>
        <w:pStyle w:val="BodyText"/>
        <w:ind w:firstLine="720" w:end="0"/>
        <w:rPr/>
      </w:pPr>
      <w:r>
        <w:rPr/>
        <w:t>A sense of the Commission’s ambitious agenda in adopting Regulation FD is evident from Chairman Levitt’s remarks at today’s meeting of the Commission.  He said that:</w:t>
      </w:r>
    </w:p>
    <w:p>
      <w:pPr>
        <w:pStyle w:val="BodyText"/>
        <w:ind w:hanging="0" w:start="720" w:end="540"/>
        <w:rPr/>
      </w:pPr>
      <w:r>
        <w:rPr>
          <w:sz w:val="22"/>
        </w:rPr>
        <w:t>We teach our children that a person gets ahead through hard work and diligence.  We ground ourselves in a trust that, through equal opportunity, everyone has a chance to succeed.  America’s marketplace should be no exception.  Instead, it should serve as a beacon.  No one should be excluded.</w:t>
      </w:r>
    </w:p>
    <w:p>
      <w:pPr>
        <w:pStyle w:val="BodyText"/>
        <w:ind w:firstLine="720" w:end="0"/>
        <w:rPr/>
      </w:pPr>
      <w:r>
        <w:rPr/>
        <w:t>Regulation FD is thus enormously significant for all public companies and sets high standards for issuers to meet going forward.  The very strong presumption of the new rules is that the broad public should have immediate access to information that might previously have been made available only to a select group.  The new rule requires that public companies, as well as securities analysts and other market participants, carefully supervise company-analyst communications, disclosure and trading activities.  Use of the internet and other new media to ensure that market sensitive information is being made available to all interested persons simultaneously is clearly part of what Regulation FD contemplates and requires.</w:t>
      </w:r>
    </w:p>
    <w:p>
      <w:pPr>
        <w:pStyle w:val="BodyText"/>
        <w:ind w:firstLine="720" w:end="0"/>
        <w:rPr/>
      </w:pPr>
      <w:r>
        <w:rPr/>
        <w:t xml:space="preserve">Among the areas to be considered are the provision of earnings “guidance” to securities analysts; pre-announcement background discussions with analysts; and conference calls and other meetings and presentations that are not open, in one form or another, to the general public.  Before issuing earnings releases or other important news, public companies will need to carefully consider the impact of Regulation FD on their existing systems for disseminating news to investors and make appropriate changes if necessary. </w:t>
      </w:r>
    </w:p>
    <w:p>
      <w:pPr>
        <w:pStyle w:val="Normal"/>
        <w:spacing w:before="120" w:after="0"/>
        <w:ind w:start="5472" w:end="0"/>
        <w:rPr/>
      </w:pPr>
      <w:bookmarkStart w:id="2" w:name="ClientMemo"/>
      <w:bookmarkStart w:id="3" w:name="ClientMemo_BeginTyping"/>
      <w:bookmarkEnd w:id="3"/>
      <w:r>
        <w:rPr/>
        <w:t>Adam O. Emmerich</w:t>
      </w:r>
      <w:bookmarkEnd w:id="2"/>
      <w:r>
        <w:rPr/>
        <w:br/>
        <w:t xml:space="preserve">John F. Savarese </w:t>
      </w:r>
    </w:p>
    <w:sectPr>
      <w:headerReference w:type="default" r:id="rId2"/>
      <w:headerReference w:type="first" r:id="rId3"/>
      <w:footerReference w:type="default" r:id="rId4"/>
      <w:footerReference w:type="first" r:id="rId5"/>
      <w:type w:val="nextPage"/>
      <w:pgSz w:w="12240" w:h="15840"/>
      <w:pgMar w:left="1440" w:right="1440" w:gutter="0" w:header="630" w:top="1173" w:footer="288"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ckers Gothic Medium">
    <w:charset w:val="00" w:characterSet="windows-125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SecondPage"/>
      <w:spacing w:before="0" w:after="0"/>
      <w:ind w:start="-288" w:end="0"/>
      <w:rPr/>
    </w:pPr>
    <w:bookmarkStart w:id="4" w:name="LetterheadSecondPage"/>
    <w:r>
      <w:rPr/>
      <w:t>Wachtell, Lipton, Rosen &amp; Katz</w:t>
    </w:r>
    <w:bookmarkEnd w:id="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720" w:hanging="360"/>
      </w:pPr>
      <w:rPr>
        <w:smallCaps w:val="false"/>
        <w:caps w:val="false"/>
      </w:rPr>
    </w:lvl>
    <w:lvl w:ilvl="1">
      <w:start w:val="1"/>
      <w:pStyle w:val="Heading2"/>
      <w:numFmt w:val="upperLetter"/>
      <w:lvlText w:val="%2."/>
      <w:lvlJc w:val="start"/>
      <w:pPr>
        <w:tabs>
          <w:tab w:val="num" w:pos="720"/>
        </w:tabs>
        <w:ind w:start="1440" w:hanging="720"/>
      </w:pPr>
      <w:rPr>
        <w:smallCaps w:val="false"/>
        <w:caps w:val="false"/>
      </w:rPr>
    </w:lvl>
    <w:lvl w:ilvl="2">
      <w:start w:val="1"/>
      <w:pStyle w:val="Heading3"/>
      <w:numFmt w:val="decimal"/>
      <w:lvlText w:val="%3."/>
      <w:lvlJc w:val="start"/>
      <w:pPr>
        <w:tabs>
          <w:tab w:val="num" w:pos="720"/>
        </w:tabs>
        <w:ind w:start="2160" w:hanging="720"/>
      </w:pPr>
      <w:rPr>
        <w:smallCaps w:val="false"/>
        <w:caps w:val="false"/>
      </w:rPr>
    </w:lvl>
    <w:lvl w:ilvl="3">
      <w:start w:val="1"/>
      <w:pStyle w:val="Heading4"/>
      <w:numFmt w:val="lowerLetter"/>
      <w:lvlText w:val="%4)"/>
      <w:lvlJc w:val="start"/>
      <w:pPr>
        <w:tabs>
          <w:tab w:val="num" w:pos="720"/>
        </w:tabs>
        <w:ind w:start="2880" w:hanging="720"/>
      </w:pPr>
      <w:rPr>
        <w:smallCaps w:val="false"/>
        <w:caps w:val="false"/>
      </w:rPr>
    </w:lvl>
    <w:lvl w:ilvl="4">
      <w:start w:val="1"/>
      <w:pStyle w:val="Heading5"/>
      <w:numFmt w:val="decimal"/>
      <w:lvlText w:val="(%5)"/>
      <w:lvlJc w:val="start"/>
      <w:pPr>
        <w:tabs>
          <w:tab w:val="num" w:pos="720"/>
        </w:tabs>
        <w:ind w:start="3600" w:hanging="720"/>
      </w:pPr>
      <w:rPr>
        <w:smallCaps w:val="false"/>
        <w:caps w:val="false"/>
      </w:rPr>
    </w:lvl>
    <w:lvl w:ilvl="5">
      <w:start w:val="1"/>
      <w:pStyle w:val="Heading6"/>
      <w:numFmt w:val="lowerLetter"/>
      <w:lvlText w:val="(%6)"/>
      <w:lvlJc w:val="start"/>
      <w:pPr>
        <w:tabs>
          <w:tab w:val="num" w:pos="720"/>
        </w:tabs>
        <w:ind w:start="4320" w:hanging="720"/>
      </w:pPr>
      <w:rPr>
        <w:smallCaps w:val="false"/>
        <w:caps w:val="false"/>
      </w:rPr>
    </w:lvl>
    <w:lvl w:ilvl="6">
      <w:start w:val="1"/>
      <w:pStyle w:val="Heading7"/>
      <w:numFmt w:val="lowerRoman"/>
      <w:lvlText w:val="(%7)"/>
      <w:lvlJc w:val="start"/>
      <w:pPr>
        <w:tabs>
          <w:tab w:val="num" w:pos="720"/>
        </w:tabs>
        <w:ind w:start="5040" w:hanging="720"/>
      </w:pPr>
      <w:rPr>
        <w:smallCaps w:val="false"/>
        <w:caps w:val="false"/>
      </w:rPr>
    </w:lvl>
    <w:lvl w:ilvl="7">
      <w:start w:val="1"/>
      <w:pStyle w:val="Heading8"/>
      <w:numFmt w:val="lowerLetter"/>
      <w:lvlText w:val="(%8)"/>
      <w:lvlJc w:val="start"/>
      <w:pPr>
        <w:tabs>
          <w:tab w:val="num" w:pos="720"/>
        </w:tabs>
        <w:ind w:start="5760" w:hanging="720"/>
      </w:pPr>
      <w:rPr>
        <w:smallCaps w:val="false"/>
        <w:caps w:val="false"/>
      </w:rPr>
    </w:lvl>
    <w:lvl w:ilvl="8">
      <w:start w:val="1"/>
      <w:pStyle w:val="Heading9"/>
      <w:numFmt w:val="lowerRoman"/>
      <w:lvlText w:val="(%9)"/>
      <w:lvlJc w:val="start"/>
      <w:pPr>
        <w:tabs>
          <w:tab w:val="num" w:pos="720"/>
        </w:tabs>
        <w:ind w:start="6480" w:hanging="720"/>
      </w:pPr>
      <w:rPr>
        <w:smallCaps w:val="false"/>
        <w:caps w:val="false"/>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1"/>
  <w:defaultTabStop w:val="720"/>
  <w:autoHyphenation w:val="true"/>
  <w:hyphenationZone w:val="0"/>
  <w:compat>
    <w:doNotExpandShiftReturn/>
    <w:compatSetting w:name="compatibilityMode" w:uri="http://schemas.microsoft.com/office/word" w:val="11"/>
  </w:compat>
  <w:docVars>
    <w:docVar w:name="FontName" w:val="Times New Roman"/>
    <w:docVar w:name="FooterStamp" w:val="True"/>
    <w:docVar w:name="FooterStampDateTimePosition" w:val="None"/>
    <w:docVar w:name="FooterStampIncludeDocNum" w:val="1"/>
    <w:docVar w:name="FooterStampWhichPages" w:val="First"/>
    <w:docVar w:name="FromCount" w:val=" 2"/>
    <w:docVar w:name="FromNames" w:val="Adam O. Emmerich|Robin Panovka"/>
    <w:docVar w:name="GreetingTitle" w:val="asdfasdasdfasdf"/>
    <w:docVar w:name="WLRKWord Version" w:val="4.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tabs>
        <w:tab w:val="clear" w:pos="720"/>
        <w:tab w:val="left" w:pos="0" w:leader="none"/>
      </w:tabs>
      <w:spacing w:before="0" w:after="240"/>
      <w:outlineLvl w:val="0"/>
    </w:pPr>
    <w:rPr>
      <w:b/>
      <w:smallCaps/>
    </w:rPr>
  </w:style>
  <w:style w:type="paragraph" w:styleId="Heading2">
    <w:name w:val="heading 2"/>
    <w:basedOn w:val="Heading1"/>
    <w:next w:val="BodyText"/>
    <w:qFormat/>
    <w:pPr>
      <w:numPr>
        <w:ilvl w:val="1"/>
        <w:numId w:val="1"/>
      </w:numPr>
      <w:tabs>
        <w:tab w:val="left" w:pos="0" w:leader="none"/>
        <w:tab w:val="left" w:pos="1440" w:leader="none"/>
      </w:tabs>
      <w:outlineLvl w:val="1"/>
    </w:pPr>
    <w:rPr>
      <w:b w:val="false"/>
      <w:caps/>
    </w:rPr>
  </w:style>
  <w:style w:type="paragraph" w:styleId="Heading3">
    <w:name w:val="heading 3"/>
    <w:basedOn w:val="Heading2"/>
    <w:next w:val="BodyText"/>
    <w:qFormat/>
    <w:pPr>
      <w:numPr>
        <w:ilvl w:val="2"/>
        <w:numId w:val="1"/>
      </w:numPr>
      <w:tabs>
        <w:tab w:val="left" w:pos="0" w:leader="none"/>
        <w:tab w:val="left" w:pos="1440" w:leader="none"/>
        <w:tab w:val="left" w:pos="2160" w:leader="none"/>
      </w:tabs>
      <w:outlineLvl w:val="2"/>
    </w:pPr>
    <w:rPr/>
  </w:style>
  <w:style w:type="paragraph" w:styleId="Heading4">
    <w:name w:val="heading 4"/>
    <w:basedOn w:val="Heading3"/>
    <w:next w:val="BodyText"/>
    <w:qFormat/>
    <w:pPr>
      <w:numPr>
        <w:ilvl w:val="3"/>
        <w:numId w:val="1"/>
      </w:numPr>
      <w:tabs>
        <w:tab w:val="left" w:pos="0" w:leader="none"/>
        <w:tab w:val="left" w:pos="1440" w:leader="none"/>
        <w:tab w:val="left" w:pos="2160" w:leader="none"/>
        <w:tab w:val="left" w:pos="2880" w:leader="none"/>
      </w:tabs>
      <w:outlineLvl w:val="3"/>
    </w:pPr>
    <w:rPr/>
  </w:style>
  <w:style w:type="paragraph" w:styleId="Heading5">
    <w:name w:val="heading 5"/>
    <w:basedOn w:val="Heading4"/>
    <w:next w:val="BodyText"/>
    <w:qFormat/>
    <w:pPr>
      <w:numPr>
        <w:ilvl w:val="4"/>
        <w:numId w:val="1"/>
      </w:numPr>
      <w:tabs>
        <w:tab w:val="clear" w:pos="2880"/>
        <w:tab w:val="left" w:pos="0" w:leader="none"/>
        <w:tab w:val="left" w:pos="1440" w:leader="none"/>
        <w:tab w:val="left" w:pos="2160" w:leader="none"/>
        <w:tab w:val="left" w:pos="3600" w:leader="none"/>
      </w:tabs>
      <w:outlineLvl w:val="4"/>
    </w:pPr>
    <w:rPr/>
  </w:style>
  <w:style w:type="paragraph" w:styleId="Heading6">
    <w:name w:val="heading 6"/>
    <w:basedOn w:val="Heading5"/>
    <w:next w:val="BodyText"/>
    <w:qFormat/>
    <w:pPr>
      <w:numPr>
        <w:ilvl w:val="5"/>
        <w:numId w:val="1"/>
      </w:numPr>
      <w:tabs>
        <w:tab w:val="clear" w:pos="3600"/>
        <w:tab w:val="left" w:pos="0" w:leader="none"/>
        <w:tab w:val="left" w:pos="1440" w:leader="none"/>
        <w:tab w:val="left" w:pos="2160" w:leader="none"/>
        <w:tab w:val="left" w:pos="4320" w:leader="none"/>
      </w:tabs>
      <w:outlineLvl w:val="5"/>
    </w:pPr>
    <w:rPr/>
  </w:style>
  <w:style w:type="paragraph" w:styleId="Heading7">
    <w:name w:val="heading 7"/>
    <w:basedOn w:val="Heading6"/>
    <w:next w:val="BodyText"/>
    <w:qFormat/>
    <w:pPr>
      <w:numPr>
        <w:ilvl w:val="6"/>
        <w:numId w:val="1"/>
      </w:numPr>
      <w:tabs>
        <w:tab w:val="clear" w:pos="4320"/>
        <w:tab w:val="left" w:pos="0" w:leader="none"/>
        <w:tab w:val="left" w:pos="1440" w:leader="none"/>
        <w:tab w:val="left" w:pos="2160" w:leader="none"/>
        <w:tab w:val="left" w:pos="5400" w:leader="none"/>
      </w:tabs>
      <w:outlineLvl w:val="6"/>
    </w:pPr>
    <w:rPr/>
  </w:style>
  <w:style w:type="paragraph" w:styleId="Heading8">
    <w:name w:val="heading 8"/>
    <w:basedOn w:val="Heading7"/>
    <w:next w:val="BodyText"/>
    <w:qFormat/>
    <w:pPr>
      <w:numPr>
        <w:ilvl w:val="7"/>
        <w:numId w:val="1"/>
      </w:numPr>
      <w:tabs>
        <w:tab w:val="clear" w:pos="5400"/>
        <w:tab w:val="left" w:pos="0" w:leader="none"/>
        <w:tab w:val="left" w:pos="1440" w:leader="none"/>
        <w:tab w:val="left" w:pos="2160" w:leader="none"/>
        <w:tab w:val="left" w:pos="5760" w:leader="none"/>
      </w:tabs>
      <w:outlineLvl w:val="7"/>
    </w:pPr>
    <w:rPr/>
  </w:style>
  <w:style w:type="paragraph" w:styleId="Heading9">
    <w:name w:val="heading 9"/>
    <w:basedOn w:val="Heading8"/>
    <w:next w:val="BodyText"/>
    <w:qFormat/>
    <w:pPr>
      <w:numPr>
        <w:ilvl w:val="8"/>
        <w:numId w:val="1"/>
      </w:numPr>
      <w:tabs>
        <w:tab w:val="clear" w:pos="5760"/>
        <w:tab w:val="left" w:pos="0" w:leader="none"/>
        <w:tab w:val="left" w:pos="1440" w:leader="none"/>
        <w:tab w:val="left" w:pos="2160" w:leader="none"/>
        <w:tab w:val="left" w:pos="68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aps w:val="false"/>
      <w:smallCaps w:val="false"/>
    </w:rPr>
  </w:style>
  <w:style w:type="character" w:styleId="WW8Num13z0">
    <w:name w:val="WW8Num13z0"/>
    <w:qFormat/>
    <w:rPr>
      <w:rFonts w:ascii="Symbol" w:hAnsi="Symbol" w:cs="Symbol"/>
    </w:rPr>
  </w:style>
  <w:style w:type="character" w:styleId="WW8NumSt10z0">
    <w:name w:val="WW8NumSt10z0"/>
    <w:qFormat/>
    <w:rPr>
      <w:rFonts w:ascii="Symbol" w:hAnsi="Symbol" w:cs="Symbol"/>
    </w:rPr>
  </w:style>
  <w:style w:type="character" w:styleId="WW8NumSt31z0">
    <w:name w:val="WW8NumSt3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ParagraphNumber">
    <w:name w:val="ParagraphNumber"/>
    <w:basedOn w:val="DefaultParagraphFont"/>
    <w:qFormat/>
    <w:rPr>
      <w:b/>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AnnotationReference">
    <w:name w:val="Annotation Reference"/>
    <w:basedOn w:val="DefaultParagraphFont"/>
    <w:qFormat/>
    <w:rPr>
      <w:sz w:val="16"/>
      <w:lang w:val="en-CA" w:eastAsia="en-CA"/>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ulletedList">
    <w:name w:val="Bulleted List"/>
    <w:basedOn w:val="Normal"/>
    <w:qFormat/>
    <w:pPr>
      <w:numPr>
        <w:ilvl w:val="0"/>
        <w:numId w:val="12"/>
      </w:numPr>
      <w:spacing w:before="0" w:after="240"/>
      <w:ind w:hanging="0" w:start="0" w:end="720"/>
    </w:pPr>
    <w:rPr/>
  </w:style>
  <w:style w:type="paragraph" w:styleId="CenteredHeading">
    <w:name w:val="Centered Heading"/>
    <w:basedOn w:val="Normal"/>
    <w:qFormat/>
    <w:pPr>
      <w:keepNext w:val="true"/>
      <w:spacing w:before="0" w:after="240"/>
      <w:ind w:hanging="0" w:start="1800" w:end="1800"/>
      <w:jc w:val="center"/>
    </w:pPr>
    <w:rPr>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eading1Para">
    <w:name w:val="Heading1Para"/>
    <w:basedOn w:val="BodyText"/>
    <w:next w:val="BodyText"/>
    <w:qFormat/>
    <w:pPr>
      <w:ind w:hanging="0" w:start="0" w:end="0"/>
      <w:jc w:val="both"/>
    </w:pPr>
    <w:rPr>
      <w:rFonts w:ascii="Times New Roman" w:hAnsi="Times New Roman" w:cs="Times New Roman"/>
    </w:rPr>
  </w:style>
  <w:style w:type="paragraph" w:styleId="Heading2Para">
    <w:name w:val="Heading2Para"/>
    <w:basedOn w:val="BodyText"/>
    <w:next w:val="BodyText"/>
    <w:qFormat/>
    <w:pPr>
      <w:ind w:firstLine="720" w:start="0" w:end="0"/>
      <w:jc w:val="both"/>
    </w:pPr>
    <w:rPr>
      <w:rFonts w:ascii="Times New Roman" w:hAnsi="Times New Roman" w:cs="Times New Roman"/>
    </w:rPr>
  </w:style>
  <w:style w:type="paragraph" w:styleId="Heading3Para">
    <w:name w:val="Heading3Para"/>
    <w:basedOn w:val="BodyText"/>
    <w:next w:val="BodyText"/>
    <w:qFormat/>
    <w:pPr>
      <w:jc w:val="both"/>
    </w:pPr>
    <w:rPr>
      <w:rFonts w:ascii="Times New Roman" w:hAnsi="Times New Roman" w:cs="Times New Roman"/>
    </w:rPr>
  </w:style>
  <w:style w:type="paragraph" w:styleId="Heading4Para">
    <w:name w:val="Heading4Para"/>
    <w:basedOn w:val="BodyText"/>
    <w:next w:val="BodyText"/>
    <w:qFormat/>
    <w:pPr>
      <w:ind w:firstLine="2160" w:start="0" w:end="0"/>
      <w:jc w:val="both"/>
    </w:pPr>
    <w:rPr>
      <w:rFonts w:ascii="Times New Roman" w:hAnsi="Times New Roman" w:cs="Times New Roman"/>
    </w:rPr>
  </w:style>
  <w:style w:type="paragraph" w:styleId="Heading5Para">
    <w:name w:val="Heading5Para"/>
    <w:basedOn w:val="BodyText"/>
    <w:next w:val="BodyText"/>
    <w:qFormat/>
    <w:pPr>
      <w:ind w:firstLine="2880" w:start="0" w:end="0"/>
      <w:jc w:val="both"/>
    </w:pPr>
    <w:rPr>
      <w:rFonts w:ascii="Times New Roman" w:hAnsi="Times New Roman" w:cs="Times New Roman"/>
    </w:rPr>
  </w:style>
  <w:style w:type="paragraph" w:styleId="Heading6Para">
    <w:name w:val="Heading6Para"/>
    <w:basedOn w:val="BodyText"/>
    <w:next w:val="BodyText"/>
    <w:qFormat/>
    <w:pPr>
      <w:ind w:firstLine="3600" w:start="0" w:end="0"/>
      <w:jc w:val="both"/>
    </w:pPr>
    <w:rPr>
      <w:rFonts w:ascii="Times New Roman" w:hAnsi="Times New Roman" w:cs="Times New Roman"/>
    </w:rPr>
  </w:style>
  <w:style w:type="paragraph" w:styleId="Heading7Para">
    <w:name w:val="Heading7Para"/>
    <w:basedOn w:val="BodyText"/>
    <w:next w:val="BodyText"/>
    <w:qFormat/>
    <w:pPr>
      <w:ind w:firstLine="4320" w:start="0" w:end="0"/>
      <w:jc w:val="both"/>
    </w:pPr>
    <w:rPr>
      <w:rFonts w:ascii="Times New Roman" w:hAnsi="Times New Roman" w:cs="Times New Roman"/>
    </w:rPr>
  </w:style>
  <w:style w:type="paragraph" w:styleId="Heading8Para">
    <w:name w:val="Heading8Para"/>
    <w:basedOn w:val="BodyText"/>
    <w:next w:val="BodyText"/>
    <w:qFormat/>
    <w:pPr>
      <w:ind w:firstLine="5040" w:start="0" w:end="0"/>
      <w:jc w:val="both"/>
    </w:pPr>
    <w:rPr>
      <w:rFonts w:ascii="Times New Roman" w:hAnsi="Times New Roman" w:cs="Times New Roman"/>
    </w:rPr>
  </w:style>
  <w:style w:type="paragraph" w:styleId="Heading9Para">
    <w:name w:val="Heading9Para"/>
    <w:basedOn w:val="BodyText"/>
    <w:next w:val="BodyText"/>
    <w:qFormat/>
    <w:pPr>
      <w:ind w:firstLine="5760" w:start="0" w:end="0"/>
      <w:jc w:val="both"/>
    </w:pPr>
    <w:rPr>
      <w:rFonts w:ascii="Times New Roman" w:hAnsi="Times New Roman" w:cs="Times New Roman"/>
    </w:rPr>
  </w:style>
  <w:style w:type="paragraph" w:styleId="LeftHeading">
    <w:name w:val="Left Heading"/>
    <w:basedOn w:val="Normal"/>
    <w:qFormat/>
    <w:pPr>
      <w:keepNext w:val="true"/>
      <w:spacing w:before="0" w:after="240"/>
      <w:ind w:hanging="0" w:start="0" w:end="4320"/>
    </w:pPr>
    <w:rPr/>
  </w:style>
  <w:style w:type="paragraph" w:styleId="LetterHead">
    <w:name w:val="LetterHead"/>
    <w:basedOn w:val="Normal"/>
    <w:qFormat/>
    <w:pPr>
      <w:spacing w:lineRule="exact" w:line="240" w:before="180" w:after="180"/>
      <w:ind w:hanging="0" w:start="-360" w:end="0"/>
    </w:pPr>
    <w:rPr>
      <w:rFonts w:ascii="Sackers Gothic Medium" w:hAnsi="Sackers Gothic Medium" w:cs="Sackers Gothic Medium"/>
      <w:b/>
      <w:spacing w:val="4"/>
      <w:sz w:val="18"/>
    </w:rPr>
  </w:style>
  <w:style w:type="paragraph" w:styleId="ParagraphDivider">
    <w:name w:val="Paragraph Divider"/>
    <w:basedOn w:val="Normal"/>
    <w:qFormat/>
    <w:pPr>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s>
      <w:spacing w:before="0" w:after="240"/>
      <w:jc w:val="center"/>
    </w:pPr>
    <w:rPr/>
  </w:style>
  <w:style w:type="paragraph" w:styleId="Quote">
    <w:name w:val="Quote"/>
    <w:basedOn w:val="Normal"/>
    <w:qFormat/>
    <w:pPr>
      <w:spacing w:before="0" w:after="240"/>
      <w:ind w:hanging="0" w:start="720" w:end="0"/>
    </w:pPr>
    <w:rPr/>
  </w:style>
  <w:style w:type="paragraph" w:styleId="TOC1">
    <w:name w:val="toc 1"/>
    <w:basedOn w:val="Normal"/>
    <w:pPr>
      <w:keepLines/>
      <w:tabs>
        <w:tab w:val="clear" w:pos="720"/>
        <w:tab w:val="right" w:pos="9288" w:leader="dot"/>
      </w:tabs>
      <w:ind w:hanging="1440" w:start="1440" w:end="1440"/>
    </w:pPr>
    <w:rPr>
      <w:rFonts w:ascii="Times New Roman" w:hAnsi="Times New Roman" w:cs="Times New Roman"/>
    </w:rPr>
  </w:style>
  <w:style w:type="paragraph" w:styleId="TOC2">
    <w:name w:val="toc 2"/>
    <w:basedOn w:val="TOC1"/>
    <w:pPr>
      <w:ind w:hanging="720" w:start="1440" w:end="1440"/>
    </w:pPr>
    <w:rPr/>
  </w:style>
  <w:style w:type="paragraph" w:styleId="TOC3">
    <w:name w:val="toc 3"/>
    <w:basedOn w:val="TOC1"/>
    <w:pPr>
      <w:ind w:hanging="720" w:start="2160" w:end="1440"/>
    </w:pPr>
    <w:rPr/>
  </w:style>
  <w:style w:type="paragraph" w:styleId="TOC4">
    <w:name w:val="toc 4"/>
    <w:basedOn w:val="TOC1"/>
    <w:pPr>
      <w:ind w:hanging="720" w:start="2880" w:end="1440"/>
    </w:pPr>
    <w:rPr/>
  </w:style>
  <w:style w:type="paragraph" w:styleId="TOC5">
    <w:name w:val="toc 5"/>
    <w:basedOn w:val="TOC1"/>
    <w:pPr>
      <w:ind w:hanging="720" w:start="3600" w:end="1440"/>
    </w:pPr>
    <w:rPr/>
  </w:style>
  <w:style w:type="paragraph" w:styleId="TOC6">
    <w:name w:val="toc 6"/>
    <w:basedOn w:val="TOC1"/>
    <w:pPr>
      <w:ind w:hanging="720" w:start="4320" w:end="1440"/>
    </w:pPr>
    <w:rPr/>
  </w:style>
  <w:style w:type="paragraph" w:styleId="TOC7">
    <w:name w:val="toc 7"/>
    <w:basedOn w:val="TOC1"/>
    <w:pPr>
      <w:ind w:hanging="720" w:start="5040" w:end="1440"/>
    </w:pPr>
    <w:rPr/>
  </w:style>
  <w:style w:type="paragraph" w:styleId="TOC8">
    <w:name w:val="toc 8"/>
    <w:basedOn w:val="TOC1"/>
    <w:pPr>
      <w:ind w:hanging="720" w:start="5760" w:end="1440"/>
    </w:pPr>
    <w:rPr/>
  </w:style>
  <w:style w:type="paragraph" w:styleId="TOC9">
    <w:name w:val="toc 9"/>
    <w:basedOn w:val="TOC1"/>
    <w:pPr>
      <w:ind w:hanging="720" w:start="6480" w:end="1440"/>
    </w:pPr>
    <w:rPr/>
  </w:style>
  <w:style w:type="paragraph" w:styleId="BodyTextIndent">
    <w:name w:val="Body Text Indent"/>
    <w:basedOn w:val="Normal"/>
    <w:pPr>
      <w:spacing w:before="0" w:after="120"/>
      <w:ind w:hanging="0" w:start="360" w:end="0"/>
    </w:pPr>
    <w:rPr/>
  </w:style>
  <w:style w:type="paragraph" w:styleId="Closing">
    <w:name w:val="Closing"/>
    <w:basedOn w:val="Normal"/>
    <w:qFormat/>
    <w:pPr>
      <w:ind w:hanging="0" w:start="4320" w:end="0"/>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AnnnotationText">
    <w:name w:val="Annnotation Text"/>
    <w:basedOn w:val="Normal"/>
    <w:qFormat/>
    <w:pPr>
      <w:widowControl w:val="false"/>
      <w:spacing w:lineRule="exact" w:line="240"/>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H3">
    <w:name w:val="H3"/>
    <w:basedOn w:val="Normal"/>
    <w:next w:val="Normal"/>
    <w:qFormat/>
    <w:pPr>
      <w:keepNext w:val="true"/>
      <w:spacing w:before="100" w:after="100"/>
      <w:outlineLvl w:val="3"/>
    </w:pPr>
    <w:rPr>
      <w:b/>
      <w:sz w:val="28"/>
      <w:lang w:eastAsia="en-US"/>
    </w:rPr>
  </w:style>
  <w:style w:type="paragraph" w:styleId="LetterHeadSecondPage">
    <w:name w:val="LetterHeadSecondPage"/>
    <w:basedOn w:val="Normal"/>
    <w:qFormat/>
    <w:pPr>
      <w:spacing w:lineRule="exact" w:line="240" w:before="180" w:after="180"/>
      <w:ind w:hanging="0" w:start="-360" w:end="0"/>
    </w:pPr>
    <w:rPr>
      <w:rFonts w:ascii="Sackers Gothic Medium" w:hAnsi="Sackers Gothic Medium" w:cs="Sackers Gothic Medium"/>
      <w:b/>
      <w:spacing w:val="4"/>
      <w:sz w:val="18"/>
    </w:rPr>
  </w:style>
  <w:style w:type="paragraph" w:styleId="H4">
    <w:name w:val="H4"/>
    <w:basedOn w:val="Normal"/>
    <w:next w:val="Normal"/>
    <w:qFormat/>
    <w:pPr>
      <w:keepNext w:val="true"/>
      <w:spacing w:before="100" w:after="100"/>
      <w:outlineLvl w:val="4"/>
    </w:pPr>
    <w:rPr>
      <w:b/>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Client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2000-08-11T16:05:00Z</dcterms:created>
  <dc:creator>coaoe</dc:creator>
  <dc:description/>
  <dc:language>en-CA</dc:language>
  <cp:lastModifiedBy>Cavalier, Michele A.</cp:lastModifiedBy>
  <cp:lastPrinted>2000-08-11T14:32:00Z</cp:lastPrinted>
  <dcterms:modified xsi:type="dcterms:W3CDTF">2000-08-11T16:05:00Z</dcterms:modified>
  <cp:revision>2</cp:revision>
  <dc:subject/>
  <dc:title>memo to clients re SEC Reg FD (8/10/00)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W/482666v1</vt:lpwstr>
  </property>
</Properties>
</file>