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rPr/>
      </w:pPr>
      <w:r>
        <w:rPr>
          <w:sz w:val="24"/>
        </w:rPr>
        <w:t>PUBLIC</w:t>
      </w:r>
      <w:r>
        <w:rPr/>
        <w:t xml:space="preserve"> </w:t>
      </w:r>
      <w:r>
        <w:rPr>
          <w:sz w:val="24"/>
        </w:rPr>
        <w:t>UTILITIES</w:t>
      </w:r>
      <w:r>
        <w:rPr/>
        <w:t xml:space="preserve"> </w:t>
      </w:r>
      <w:r>
        <w:rPr>
          <w:sz w:val="24"/>
        </w:rPr>
        <w:t>COMMISSION</w:t>
      </w:r>
    </w:p>
    <w:p>
      <w:pPr>
        <w:pStyle w:val="Normal"/>
        <w:widowControl w:val="false"/>
        <w:tabs>
          <w:tab w:val="clear" w:pos="720"/>
          <w:tab w:val="left" w:pos="80" w:leader="none"/>
        </w:tabs>
        <w:rPr>
          <w:sz w:val="24"/>
        </w:rPr>
      </w:pPr>
      <w:r>
        <w:rPr>
          <w:sz w:val="24"/>
        </w:rPr>
        <w:t>STATE OF CALIFORNIA</w:t>
      </w:r>
    </w:p>
    <w:p>
      <w:pPr>
        <w:pStyle w:val="Normal"/>
        <w:widowControl w:val="false"/>
        <w:tabs>
          <w:tab w:val="clear" w:pos="720"/>
          <w:tab w:val="left" w:pos="80" w:leader="none"/>
        </w:tabs>
        <w:rPr>
          <w:b/>
          <w:sz w:val="24"/>
        </w:rPr>
      </w:pPr>
      <w:r>
        <w:rPr>
          <w:sz w:val="24"/>
        </w:rPr>
        <w:t>505 VAN NESS AVENEUE</w:t>
        <w:tab/>
        <w:tab/>
        <w:tab/>
        <w:tab/>
        <w:tab/>
      </w:r>
    </w:p>
    <w:p>
      <w:pPr>
        <w:pStyle w:val="Normal"/>
        <w:widowControl w:val="false"/>
        <w:tabs>
          <w:tab w:val="clear" w:pos="720"/>
          <w:tab w:val="left" w:pos="80" w:leader="none"/>
        </w:tabs>
        <w:rPr>
          <w:b/>
          <w:sz w:val="24"/>
        </w:rPr>
      </w:pPr>
      <w:r>
        <w:rPr>
          <w:sz w:val="24"/>
        </w:rPr>
        <w:t>SAN FRANCISCO, CA 94102</w:t>
        <w:tab/>
        <w:tab/>
        <w:tab/>
      </w:r>
    </w:p>
    <w:p>
      <w:pPr>
        <w:pStyle w:val="Normal"/>
        <w:widowControl w:val="false"/>
        <w:tabs>
          <w:tab w:val="clear" w:pos="720"/>
          <w:tab w:val="left" w:pos="80" w:leader="none"/>
        </w:tabs>
        <w:rPr/>
      </w:pPr>
      <w:r>
        <w:rPr>
          <w:sz w:val="24"/>
        </w:rPr>
        <w:t>(415) 703-2088</w:t>
        <w:tab/>
        <w:tab/>
      </w:r>
      <w:r>
        <w:rPr/>
        <w:tab/>
        <w:tab/>
        <w:tab/>
        <w:t xml:space="preserve"> </w:t>
      </w:r>
    </w:p>
    <w:p>
      <w:pPr>
        <w:pStyle w:val="Normal"/>
        <w:widowControl w:val="false"/>
        <w:tabs>
          <w:tab w:val="clear" w:pos="720"/>
          <w:tab w:val="left" w:pos="80" w:leader="none"/>
        </w:tabs>
        <w:rPr>
          <w:b/>
        </w:rPr>
      </w:pPr>
      <w:r>
        <w:rPr>
          <w:b/>
        </w:rPr>
      </w:r>
    </w:p>
    <w:p>
      <w:pPr>
        <w:pStyle w:val="Normal"/>
        <w:widowControl w:val="false"/>
        <w:tabs>
          <w:tab w:val="clear" w:pos="720"/>
          <w:tab w:val="left" w:pos="80" w:leader="none"/>
        </w:tabs>
        <w:rPr>
          <w:b/>
        </w:rPr>
      </w:pPr>
      <w:r>
        <w:rPr>
          <w:b/>
        </w:rPr>
      </w:r>
    </w:p>
    <w:p>
      <w:pPr>
        <w:pStyle w:val="Normal"/>
        <w:widowControl w:val="false"/>
        <w:tabs>
          <w:tab w:val="clear" w:pos="720"/>
          <w:tab w:val="left" w:pos="80" w:leader="none"/>
        </w:tabs>
        <w:rPr>
          <w:b/>
        </w:rPr>
      </w:pPr>
      <w:r>
        <w:rPr>
          <w:b/>
        </w:rPr>
      </w:r>
    </w:p>
    <w:p>
      <w:pPr>
        <w:pStyle w:val="Normal"/>
        <w:widowControl w:val="false"/>
        <w:tabs>
          <w:tab w:val="clear" w:pos="720"/>
          <w:tab w:val="left" w:pos="80" w:leader="none"/>
        </w:tabs>
        <w:rPr>
          <w:b/>
        </w:rPr>
      </w:pPr>
      <w:r>
        <w:rPr>
          <w:b/>
        </w:rPr>
      </w:r>
    </w:p>
    <w:p>
      <w:pPr>
        <w:pStyle w:val="Heading2"/>
        <w:spacing w:before="0" w:after="120"/>
        <w:ind w:hanging="0" w:start="0"/>
        <w:rPr>
          <w:rFonts w:ascii="Times New Roman" w:hAnsi="Times New Roman" w:cs="Times New Roman"/>
          <w:b w:val="false"/>
          <w:sz w:val="24"/>
        </w:rPr>
      </w:pPr>
      <w:r>
        <w:rPr>
          <w:rFonts w:cs="Times New Roman" w:ascii="Times New Roman" w:hAnsi="Times New Roman"/>
          <w:b w:val="false"/>
          <w:sz w:val="24"/>
        </w:rPr>
        <w:t>PUBLIC UTILITIES COMMISSION OF THE STATE OF CALIFORNIA</w:t>
      </w:r>
    </w:p>
    <w:p>
      <w:pPr>
        <w:pStyle w:val="Normal"/>
        <w:widowControl w:val="false"/>
        <w:tabs>
          <w:tab w:val="clear" w:pos="720"/>
          <w:tab w:val="left" w:pos="80" w:leader="none"/>
          <w:tab w:val="left" w:pos="680" w:leader="none"/>
          <w:tab w:val="left" w:pos="4680" w:leader="none"/>
        </w:tabs>
        <w:rPr>
          <w:rFonts w:ascii="Times New Roman" w:hAnsi="Times New Roman" w:cs="Times New Roman"/>
          <w:b/>
          <w:sz w:val="24"/>
        </w:rPr>
      </w:pPr>
      <w:r>
        <w:rPr>
          <w:rFonts w:cs="Times New Roman"/>
          <w:b/>
          <w:sz w:val="24"/>
        </w:rPr>
      </w:r>
    </w:p>
    <w:p>
      <w:pPr>
        <w:pStyle w:val="Normal"/>
        <w:widowControl w:val="false"/>
        <w:tabs>
          <w:tab w:val="clear" w:pos="720"/>
          <w:tab w:val="left" w:pos="80" w:leader="none"/>
          <w:tab w:val="left" w:pos="680" w:leader="none"/>
          <w:tab w:val="left" w:pos="4680" w:leader="none"/>
        </w:tabs>
        <w:rPr>
          <w:sz w:val="24"/>
        </w:rPr>
      </w:pPr>
      <w:r>
        <w:rPr>
          <w:sz w:val="24"/>
        </w:rPr>
        <w:t>IN THE MATTER OF THE</w:t>
        <w:tab/>
        <w:t>)</w:t>
      </w:r>
    </w:p>
    <w:p>
      <w:pPr>
        <w:pStyle w:val="Normal"/>
        <w:widowControl w:val="false"/>
        <w:tabs>
          <w:tab w:val="clear" w:pos="720"/>
          <w:tab w:val="left" w:pos="80" w:leader="none"/>
          <w:tab w:val="left" w:pos="680" w:leader="none"/>
          <w:tab w:val="left" w:pos="4680" w:leader="none"/>
        </w:tabs>
        <w:rPr/>
      </w:pPr>
      <w:r>
        <w:rPr>
          <w:sz w:val="24"/>
        </w:rPr>
        <w:t>INVESTIGATION PERTAINING TO</w:t>
        <w:tab/>
        <w:t>)</w:t>
        <w:tab/>
        <w:tab/>
      </w:r>
    </w:p>
    <w:p>
      <w:pPr>
        <w:pStyle w:val="Normal"/>
        <w:widowControl w:val="false"/>
        <w:tabs>
          <w:tab w:val="clear" w:pos="720"/>
          <w:tab w:val="left" w:pos="80" w:leader="none"/>
          <w:tab w:val="left" w:pos="680" w:leader="none"/>
          <w:tab w:val="left" w:pos="4680" w:leader="none"/>
        </w:tabs>
        <w:rPr>
          <w:sz w:val="24"/>
        </w:rPr>
      </w:pPr>
      <w:r>
        <w:rPr>
          <w:sz w:val="24"/>
        </w:rPr>
        <w:t>THE RELIABILITY OF ENERGY</w:t>
        <w:tab/>
        <w:t>)</w:t>
      </w:r>
    </w:p>
    <w:p>
      <w:pPr>
        <w:pStyle w:val="Normal"/>
        <w:widowControl w:val="false"/>
        <w:tabs>
          <w:tab w:val="clear" w:pos="720"/>
          <w:tab w:val="left" w:pos="80" w:leader="none"/>
          <w:tab w:val="left" w:pos="680" w:leader="none"/>
          <w:tab w:val="left" w:pos="4680" w:leader="none"/>
        </w:tabs>
        <w:rPr>
          <w:sz w:val="24"/>
        </w:rPr>
      </w:pPr>
      <w:r>
        <w:rPr>
          <w:sz w:val="24"/>
        </w:rPr>
        <w:t>GENERATION, MARKETING</w:t>
        <w:tab/>
        <w:t>)</w:t>
      </w:r>
    </w:p>
    <w:p>
      <w:pPr>
        <w:pStyle w:val="Normal"/>
        <w:widowControl w:val="false"/>
        <w:tabs>
          <w:tab w:val="clear" w:pos="720"/>
          <w:tab w:val="left" w:pos="80" w:leader="none"/>
          <w:tab w:val="left" w:pos="680" w:leader="none"/>
          <w:tab w:val="left" w:pos="4680" w:leader="none"/>
        </w:tabs>
        <w:rPr>
          <w:sz w:val="24"/>
        </w:rPr>
      </w:pPr>
      <w:r>
        <w:rPr>
          <w:sz w:val="24"/>
        </w:rPr>
        <w:t>AND DELIVERY</w:t>
        <w:tab/>
        <w:t>)</w:t>
      </w:r>
    </w:p>
    <w:p>
      <w:pPr>
        <w:pStyle w:val="Normal"/>
        <w:widowControl w:val="false"/>
        <w:tabs>
          <w:tab w:val="clear" w:pos="720"/>
          <w:tab w:val="left" w:pos="80" w:leader="none"/>
          <w:tab w:val="left" w:pos="680" w:leader="none"/>
          <w:tab w:val="left" w:pos="4680" w:leader="none"/>
        </w:tabs>
        <w:rPr/>
      </w:pPr>
      <w:r>
        <w:rPr>
          <w:sz w:val="24"/>
        </w:rPr>
        <w:tab/>
        <w:tab/>
        <w:tab/>
        <w:t>)</w:t>
        <w:tab/>
      </w:r>
      <w:r>
        <w:rPr>
          <w:b/>
          <w:sz w:val="24"/>
        </w:rPr>
        <w:t>DECLARATION IN SUPPORT</w:t>
      </w:r>
      <w:r>
        <w:rPr>
          <w:sz w:val="24"/>
        </w:rPr>
        <w:tab/>
        <w:t xml:space="preserve">        </w:t>
      </w:r>
    </w:p>
    <w:p>
      <w:pPr>
        <w:pStyle w:val="Normal"/>
        <w:widowControl w:val="false"/>
        <w:tabs>
          <w:tab w:val="clear" w:pos="720"/>
          <w:tab w:val="left" w:pos="80" w:leader="none"/>
          <w:tab w:val="left" w:pos="680" w:leader="none"/>
          <w:tab w:val="left" w:pos="4680" w:leader="none"/>
        </w:tabs>
        <w:rPr>
          <w:sz w:val="24"/>
        </w:rPr>
      </w:pPr>
      <w:r>
        <w:rPr>
          <w:sz w:val="24"/>
        </w:rPr>
        <w:tab/>
        <w:tab/>
        <w:tab/>
        <w:t>)</w:t>
        <w:tab/>
      </w:r>
      <w:r>
        <w:rPr>
          <w:b/>
          <w:sz w:val="24"/>
        </w:rPr>
        <w:t>OF SUBPOENA DUCES TECUM</w:t>
      </w:r>
    </w:p>
    <w:p>
      <w:pPr>
        <w:pStyle w:val="Normal"/>
        <w:widowControl w:val="false"/>
        <w:tabs>
          <w:tab w:val="clear" w:pos="720"/>
          <w:tab w:val="left" w:pos="80" w:leader="none"/>
          <w:tab w:val="left" w:pos="680" w:leader="none"/>
          <w:tab w:val="left" w:pos="4680" w:leader="none"/>
        </w:tabs>
        <w:rPr/>
      </w:pPr>
      <w:r>
        <w:rPr>
          <w:sz w:val="24"/>
        </w:rPr>
        <w:tab/>
        <w:tab/>
        <w:tab/>
        <w:t>)</w:t>
        <w:tab/>
        <w:t xml:space="preserve">  </w:t>
      </w:r>
      <w:r>
        <w:rPr>
          <w:b/>
          <w:sz w:val="24"/>
        </w:rPr>
        <w:t xml:space="preserve">(Deposition – Records Only) </w:t>
      </w:r>
    </w:p>
    <w:p>
      <w:pPr>
        <w:pStyle w:val="Normal"/>
        <w:widowControl w:val="false"/>
        <w:tabs>
          <w:tab w:val="clear" w:pos="720"/>
          <w:tab w:val="left" w:pos="80" w:leader="none"/>
          <w:tab w:val="left" w:pos="680" w:leader="none"/>
          <w:tab w:val="left" w:pos="4680" w:leader="none"/>
        </w:tabs>
        <w:rPr>
          <w:b/>
          <w:sz w:val="24"/>
        </w:rPr>
      </w:pPr>
      <w:r>
        <w:rPr>
          <w:sz w:val="24"/>
        </w:rPr>
        <w:tab/>
        <w:tab/>
        <w:tab/>
        <w:t>)</w:t>
        <w:tab/>
        <w:tab/>
      </w:r>
    </w:p>
    <w:p>
      <w:pPr>
        <w:pStyle w:val="Normal"/>
        <w:widowControl w:val="false"/>
        <w:tabs>
          <w:tab w:val="clear" w:pos="720"/>
          <w:tab w:val="left" w:pos="80" w:leader="none"/>
          <w:tab w:val="left" w:pos="680" w:leader="none"/>
          <w:tab w:val="left" w:pos="4680" w:leader="none"/>
          <w:tab w:val="left" w:pos="5220" w:leader="none"/>
          <w:tab w:val="left" w:pos="5920" w:leader="none"/>
          <w:tab w:val="left" w:pos="6440" w:leader="none"/>
        </w:tabs>
        <w:rPr>
          <w:sz w:val="24"/>
        </w:rPr>
      </w:pPr>
      <w:r>
        <w:rPr>
          <w:sz w:val="24"/>
        </w:rPr>
        <w:t>_______________________________________)</w:t>
      </w:r>
    </w:p>
    <w:p>
      <w:pPr>
        <w:pStyle w:val="Normal"/>
        <w:widowControl w:val="false"/>
        <w:tabs>
          <w:tab w:val="clear" w:pos="720"/>
          <w:tab w:val="left" w:pos="80" w:leader="none"/>
          <w:tab w:val="left" w:pos="680" w:leader="none"/>
          <w:tab w:val="left" w:pos="5220" w:leader="none"/>
          <w:tab w:val="left" w:pos="5920" w:leader="none"/>
          <w:tab w:val="left" w:pos="6440" w:leader="none"/>
        </w:tabs>
        <w:spacing w:before="0" w:after="120"/>
        <w:rPr>
          <w:sz w:val="22"/>
        </w:rPr>
      </w:pPr>
      <w:r>
        <w:rPr>
          <w:sz w:val="22"/>
        </w:rPr>
      </w:r>
    </w:p>
    <w:p>
      <w:pPr>
        <w:pStyle w:val="DoubleSpacing"/>
        <w:rPr/>
      </w:pPr>
      <w:r>
        <w:rPr/>
        <w:tab/>
      </w:r>
      <w:r>
        <w:rPr>
          <w:rFonts w:cs="Times New Roman" w:ascii="Times New Roman" w:hAnsi="Times New Roman"/>
        </w:rPr>
        <w:t>I, BARBARA J. FERGUSON, declare as follows:</w:t>
      </w:r>
    </w:p>
    <w:p>
      <w:pPr>
        <w:pStyle w:val="DoubleSpacing"/>
        <w:numPr>
          <w:ilvl w:val="0"/>
          <w:numId w:val="2"/>
        </w:numPr>
        <w:tabs>
          <w:tab w:val="clear" w:pos="720"/>
        </w:tabs>
        <w:ind w:firstLine="540" w:start="180" w:end="0"/>
        <w:rPr>
          <w:rFonts w:ascii="Times New Roman" w:hAnsi="Times New Roman" w:cs="Times New Roman"/>
        </w:rPr>
      </w:pPr>
      <w:r>
        <w:rPr>
          <w:rFonts w:cs="Times New Roman" w:ascii="Times New Roman" w:hAnsi="Times New Roman"/>
        </w:rPr>
        <w:t>I am an attorney duly licensed to practice before all courts of the State of California and am employed as a staff attorney for the California Public Utilities Commission (hereinafter “CPUC”).  My business address is 505 Van Ness, San Francisco, California.</w:t>
      </w:r>
    </w:p>
    <w:p>
      <w:pPr>
        <w:pStyle w:val="DoubleSpacing"/>
        <w:numPr>
          <w:ilvl w:val="0"/>
          <w:numId w:val="2"/>
        </w:numPr>
        <w:tabs>
          <w:tab w:val="clear" w:pos="720"/>
          <w:tab w:val="left" w:pos="180" w:leader="none"/>
        </w:tabs>
        <w:ind w:firstLine="540" w:start="180" w:end="0"/>
        <w:rPr>
          <w:rFonts w:ascii="Times New Roman" w:hAnsi="Times New Roman" w:cs="Times New Roman"/>
        </w:rPr>
      </w:pPr>
      <w:r>
        <w:rPr>
          <w:rFonts w:cs="Times New Roman" w:ascii="Times New Roman" w:hAnsi="Times New Roman"/>
        </w:rPr>
        <w:t xml:space="preserve">Good cause exists for the production of the documents requested in the Subpoena Duces Tecum issued by the CPUC to the California Power Exchange, as set forth with particularity in Exhibit A attached to the Subpoena Duces Tecum, in that the documents are material to the investigation by the Consumer Services Division of the CPUC into the generating, selling, buying and trading of energy in the State of California. </w:t>
      </w:r>
    </w:p>
    <w:p>
      <w:pPr>
        <w:pStyle w:val="DoubleSpacing"/>
        <w:numPr>
          <w:ilvl w:val="0"/>
          <w:numId w:val="2"/>
        </w:numPr>
        <w:tabs>
          <w:tab w:val="clear" w:pos="720"/>
        </w:tabs>
        <w:ind w:firstLine="540" w:start="180" w:end="0"/>
        <w:rPr>
          <w:rFonts w:ascii="Times New Roman" w:hAnsi="Times New Roman" w:cs="Times New Roman"/>
        </w:rPr>
      </w:pPr>
      <w:r>
        <w:rPr>
          <w:rFonts w:cs="Times New Roman" w:ascii="Times New Roman" w:hAnsi="Times New Roman"/>
        </w:rPr>
        <w:t xml:space="preserve">It is my understanding and belief that the documents requested are in the custody, control and/or possession of the California Power Exchange. </w:t>
      </w:r>
    </w:p>
    <w:p>
      <w:pPr>
        <w:pStyle w:val="DoubleSpacing"/>
        <w:ind w:start="720" w:end="0"/>
        <w:rPr>
          <w:rFonts w:ascii="Times New Roman" w:hAnsi="Times New Roman" w:cs="Times New Roman"/>
        </w:rPr>
      </w:pPr>
      <w:r>
        <w:rPr>
          <w:rFonts w:cs="Times New Roman" w:ascii="Times New Roman" w:hAnsi="Times New Roman"/>
        </w:rPr>
      </w:r>
    </w:p>
    <w:p>
      <w:pPr>
        <w:pStyle w:val="DoubleSpacing"/>
        <w:ind w:start="720" w:end="0"/>
        <w:rPr>
          <w:rFonts w:ascii="Times New Roman" w:hAnsi="Times New Roman" w:cs="Times New Roman"/>
        </w:rPr>
      </w:pPr>
      <w:r>
        <w:rPr>
          <w:rFonts w:cs="Times New Roman" w:ascii="Times New Roman" w:hAnsi="Times New Roman"/>
        </w:rPr>
        <w:t>Executed under penalty of perjury under the laws of the State of California, on the 30th day of January 2001, at San Francisco, California.</w:t>
      </w:r>
    </w:p>
    <w:p>
      <w:pPr>
        <w:pStyle w:val="DoubleSpacing"/>
        <w:ind w:start="720" w:end="0"/>
        <w:rPr>
          <w:rFonts w:ascii="Times New Roman" w:hAnsi="Times New Roman" w:cs="Times New Roman"/>
        </w:rPr>
      </w:pPr>
      <w:r>
        <w:rPr>
          <w:rFonts w:cs="Times New Roman" w:ascii="Times New Roman" w:hAnsi="Times New Roman"/>
        </w:rPr>
      </w:r>
    </w:p>
    <w:p>
      <w:pPr>
        <w:pStyle w:val="Normal"/>
        <w:rPr/>
      </w:pPr>
      <w:r>
        <w:rPr/>
        <w:tab/>
        <w:tab/>
        <w:tab/>
        <w:tab/>
        <w:tab/>
        <w:t xml:space="preserve">____________________________________  </w:t>
      </w:r>
    </w:p>
    <w:p>
      <w:pPr>
        <w:pStyle w:val="Normal"/>
        <w:rPr/>
      </w:pPr>
      <w:r>
        <w:rPr/>
        <w:tab/>
        <w:tab/>
        <w:tab/>
        <w:tab/>
        <w:tab/>
      </w:r>
      <w:r>
        <w:rPr>
          <w:sz w:val="24"/>
        </w:rPr>
        <w:t>Barbara J. Ferguson</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lgerian">
    <w:altName w:val="comic"/>
    <w:charset w:val="00" w:characterSet="windows-1252"/>
    <w:family w:val="decorative"/>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ind w:hanging="0" w:start="5040" w:end="0"/>
      <w:outlineLvl w:val="0"/>
    </w:pPr>
    <w:rPr>
      <w:sz w:val="24"/>
    </w:rPr>
  </w:style>
  <w:style w:type="paragraph" w:styleId="Heading2">
    <w:name w:val="heading 2"/>
    <w:basedOn w:val="Normal"/>
    <w:next w:val="Normal"/>
    <w:qFormat/>
    <w:pPr>
      <w:keepNext w:val="true"/>
      <w:numPr>
        <w:ilvl w:val="1"/>
        <w:numId w:val="1"/>
      </w:numPr>
      <w:jc w:val="center"/>
      <w:outlineLvl w:val="1"/>
    </w:pPr>
    <w:rPr>
      <w:rFonts w:ascii="Algerian;Courier New" w:hAnsi="Algerian;Courier New" w:cs="Algerian;Courier New"/>
      <w:b/>
      <w:sz w:val="28"/>
      <w:lang w:eastAsia="en-US"/>
    </w:rPr>
  </w:style>
  <w:style w:type="paragraph" w:styleId="Heading3">
    <w:name w:val="heading 3"/>
    <w:basedOn w:val="Normal"/>
    <w:next w:val="Normal"/>
    <w:qFormat/>
    <w:pPr>
      <w:keepNext w:val="true"/>
      <w:widowControl w:val="false"/>
      <w:numPr>
        <w:ilvl w:val="2"/>
        <w:numId w:val="1"/>
      </w:numPr>
      <w:outlineLvl w:val="2"/>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80" w:leader="none"/>
        <w:tab w:val="left" w:pos="680" w:leader="none"/>
        <w:tab w:val="left" w:pos="5220" w:leader="none"/>
        <w:tab w:val="left" w:pos="5920" w:leader="none"/>
        <w:tab w:val="left" w:pos="6440" w:leader="none"/>
      </w:tabs>
      <w:spacing w:before="0" w:after="120"/>
    </w:pPr>
    <w:rPr>
      <w:sz w:val="22"/>
    </w:rPr>
  </w:style>
  <w:style w:type="paragraph" w:styleId="BodyTextIndent3">
    <w:name w:val="Body Text Indent 3"/>
    <w:basedOn w:val="Normal"/>
    <w:qFormat/>
    <w:pPr>
      <w:widowControl w:val="false"/>
      <w:tabs>
        <w:tab w:val="clear" w:pos="720"/>
        <w:tab w:val="left" w:pos="80" w:leader="none"/>
        <w:tab w:val="left" w:pos="680" w:leader="none"/>
        <w:tab w:val="left" w:pos="780" w:leader="none"/>
        <w:tab w:val="left" w:pos="4860" w:leader="none"/>
        <w:tab w:val="left" w:pos="5220" w:leader="none"/>
        <w:tab w:val="left" w:pos="5920" w:leader="none"/>
        <w:tab w:val="left" w:pos="6360" w:leader="none"/>
        <w:tab w:val="left" w:pos="6440" w:leader="none"/>
        <w:tab w:val="left" w:pos="8580" w:leader="none"/>
      </w:tabs>
      <w:spacing w:lineRule="auto" w:line="360"/>
      <w:ind w:firstLine="720" w:start="58" w:end="0"/>
    </w:pPr>
    <w:rPr>
      <w:sz w:val="22"/>
      <w:lang w:eastAsia="en-US"/>
    </w:rPr>
  </w:style>
  <w:style w:type="paragraph" w:styleId="DoubleSpacing">
    <w:name w:val="Double Spacing"/>
    <w:basedOn w:val="Normal"/>
    <w:qFormat/>
    <w:pPr>
      <w:widowControl w:val="false"/>
      <w:spacing w:lineRule="exact" w:line="480"/>
    </w:pPr>
    <w:rPr>
      <w:rFonts w:ascii="Courier New" w:hAnsi="Courier New" w:cs="Courier New"/>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2001-01-31T14:48:00Z</dcterms:created>
  <dc:creator>barbara j ferguson</dc:creator>
  <dc:description/>
  <dc:language>en-CA</dc:language>
  <cp:lastModifiedBy>barbara j ferguson</cp:lastModifiedBy>
  <cp:lastPrinted>2001-01-31T09:42:00Z</cp:lastPrinted>
  <dcterms:modified xsi:type="dcterms:W3CDTF">2001-01-31T15:12:00Z</dcterms:modified>
  <cp:revision>2</cp:revision>
  <dc:subject/>
  <dc:title>PUBLIC UTILITIES COMMISSION</dc:title>
</cp:coreProperties>
</file>