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both"/>
        <w:rPr>
          <w:rFonts w:ascii="Arial" w:hAnsi="Arial" w:cs="Arial"/>
          <w:sz w:val="19"/>
        </w:rPr>
      </w:pPr>
      <w:r>
        <w:rPr>
          <w:rFonts w:cs="Arial" w:ascii="Arial" w:hAnsi="Arial"/>
          <w:sz w:val="17"/>
        </w:rPr>
        <w:drawing>
          <wp:inline distT="0" distB="0" distL="0" distR="0">
            <wp:extent cx="669925" cy="663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9925" cy="663575"/>
                    </a:xfrm>
                    <a:prstGeom prst="rect">
                      <a:avLst/>
                    </a:prstGeom>
                    <a:noFill/>
                  </pic:spPr>
                </pic:pic>
              </a:graphicData>
            </a:graphic>
          </wp:inline>
        </w:drawing>
      </w:r>
    </w:p>
    <w:p>
      <w:pPr>
        <w:pStyle w:val="Normal"/>
        <w:jc w:val="both"/>
        <w:rPr>
          <w:rFonts w:ascii="Arial" w:hAnsi="Arial" w:cs="Arial"/>
          <w:sz w:val="19"/>
        </w:rPr>
      </w:pPr>
      <w:r>
        <w:rPr>
          <w:rFonts w:cs="Arial" w:ascii="Arial" w:hAnsi="Arial"/>
          <w:sz w:val="19"/>
        </w:rPr>
      </w:r>
    </w:p>
    <w:tbl>
      <w:tblPr>
        <w:tblW w:w="8856" w:type="dxa"/>
        <w:jc w:val="start"/>
        <w:tblInd w:w="0" w:type="dxa"/>
        <w:tblLayout w:type="fixed"/>
        <w:tblCellMar>
          <w:top w:w="0" w:type="dxa"/>
          <w:start w:w="108" w:type="dxa"/>
          <w:bottom w:w="0" w:type="dxa"/>
          <w:end w:w="108" w:type="dxa"/>
        </w:tblCellMar>
      </w:tblPr>
      <w:tblGrid>
        <w:gridCol w:w="828"/>
        <w:gridCol w:w="5040"/>
        <w:gridCol w:w="1440"/>
        <w:gridCol w:w="1548"/>
      </w:tblGrid>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To:</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Office of the Chairman, Enron Wholesale Services</w:t>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From:</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Stephen H. Douglas</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Department:</w:t>
            </w:r>
          </w:p>
        </w:tc>
        <w:tc>
          <w:tcPr>
            <w:tcW w:w="154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EWS Tax</w:t>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Subject:</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b/>
                <w:sz w:val="20"/>
              </w:rPr>
              <w:t>The EWS Tax Update for August 3, 2001</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Date:</w:t>
            </w:r>
          </w:p>
        </w:tc>
        <w:tc>
          <w:tcPr>
            <w:tcW w:w="154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August 3, 2001</w:t>
            </w:r>
          </w:p>
        </w:tc>
      </w:tr>
    </w:tbl>
    <w:p>
      <w:pPr>
        <w:pStyle w:val="Normal"/>
        <w:pBdr>
          <w:bottom w:val="single" w:sz="4" w:space="1" w:color="000000"/>
        </w:pBdr>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pPr>
      <w:r>
        <w:rPr>
          <w:rFonts w:cs="Arial" w:ascii="Arial" w:hAnsi="Arial"/>
          <w:b/>
          <w:bCs/>
          <w:sz w:val="20"/>
          <w:u w:val="single"/>
        </w:rPr>
        <w:t>TRANSACTION OF THE WEEK:</w:t>
      </w:r>
      <w:r>
        <w:rPr>
          <w:rFonts w:cs="Arial" w:ascii="Arial" w:hAnsi="Arial"/>
          <w:sz w:val="20"/>
        </w:rPr>
        <w:t xml:space="preserve">  </w:t>
      </w:r>
      <w:r>
        <w:rPr>
          <w:rFonts w:cs="Arial" w:ascii="Arial" w:hAnsi="Arial"/>
          <w:b/>
          <w:bCs/>
          <w:sz w:val="20"/>
          <w:szCs w:val="20"/>
        </w:rPr>
        <w:t>ABN-Amro Financing</w:t>
      </w:r>
      <w:r>
        <w:rPr>
          <w:rFonts w:cs="Arial" w:ascii="Arial" w:hAnsi="Arial"/>
          <w:sz w:val="20"/>
          <w:szCs w:val="20"/>
        </w:rPr>
        <w:t xml:space="preserve"> (for Enron of the Americas) - A financing whereby Enron (via Enron Brazil Power Holdings IV) borrowed $95 MM from a Netherlands investor through a sale/repurchase (a “Repo”) transaction of a note in one of our Brazilian subsidiaries.  The Repo provides Enron a lower cost of funds because the investor obtains a special tax benefit under the Netherlands-Brazil Tax Treaty (a benefit not otherwise available to Enron) and shares a portion of this benefit with Enron through the interest rate charged under the Repo.</w:t>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t>NOTE:  Each edition of the Tax Department Update highlights a novel transaction that involved Tax Department support to attaining its result.  These transactions are not, necessarily, the largest or most high profile transactions occurring in the company at a particular time (though, sometimes they may be) but they are transactions that highlight the skills of the EWS Tax Department and the value to Enron of properly managing the tax position.</w:t>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of the Americas</w:t>
      </w:r>
    </w:p>
    <w:p>
      <w:pPr>
        <w:pStyle w:val="Normal"/>
        <w:rPr>
          <w:sz w:val="20"/>
        </w:rPr>
      </w:pPr>
      <w:r>
        <w:rPr>
          <w:sz w:val="20"/>
        </w:rPr>
      </w:r>
    </w:p>
    <w:p>
      <w:pPr>
        <w:pStyle w:val="Normal"/>
        <w:autoSpaceDE w:val="false"/>
        <w:rPr/>
      </w:pPr>
      <w:r>
        <w:rPr>
          <w:rFonts w:cs="Arial" w:ascii="Arial" w:hAnsi="Arial"/>
          <w:b/>
          <w:bCs/>
          <w:sz w:val="20"/>
        </w:rPr>
        <w:t>Sithe Restructuring</w:t>
      </w:r>
      <w:r>
        <w:rPr>
          <w:rFonts w:cs="Arial" w:ascii="Arial" w:hAnsi="Arial"/>
          <w:sz w:val="20"/>
        </w:rPr>
        <w:t xml:space="preserve"> – Reviewed, commented to and helped to finalize the revised partnership agreement whereby Enron obtained a 40 percent equity interest in Sithe/Independence Power Partners, L.P. in exchange for (i) Enron’s interest in a special “tracking account” reflecting a price differential for gas supplied to the project, (ii) the assumption of certain gas transportation obligations and (iii) the payment of cash.  EWS Tax assisted the Sithe restructuring by modeling the tax consequences to both Enron and the Sithe partners resulting from the debt (i.e., tracking account) for equity exchange (three different types of restructurings were evaluated), and drafting special partnership allocations and distributions to attain the agreed upon transaction.  </w:t>
      </w:r>
      <w:r>
        <w:rPr>
          <w:rFonts w:cs="Arial" w:ascii="Arial" w:hAnsi="Arial"/>
          <w:b/>
          <w:bCs/>
          <w:sz w:val="20"/>
        </w:rPr>
        <w:t>Through such tax support, EWS Tax insured Enron received a full stepped up tax basis in its equity interest in the partnership with a net present value of approximately $40 million</w:t>
      </w:r>
      <w:r>
        <w:rPr>
          <w:rFonts w:cs="Arial" w:ascii="Arial" w:hAnsi="Arial"/>
          <w:sz w:val="20"/>
        </w:rPr>
        <w:t>.</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b/>
          <w:bCs/>
          <w:color w:val="000000"/>
          <w:sz w:val="20"/>
        </w:rPr>
        <w:t>Montana Power Transaction</w:t>
      </w:r>
      <w:r>
        <w:rPr>
          <w:rFonts w:cs="Arial" w:ascii="Arial" w:hAnsi="Arial"/>
          <w:color w:val="000000"/>
          <w:sz w:val="20"/>
        </w:rPr>
        <w:t xml:space="preserve"> – Provided tax structuring advice related to a power pre-pay transaction so that Enron can obtain accelerated tax deductions and receive a </w:t>
      </w:r>
      <w:r>
        <w:rPr>
          <w:rFonts w:cs="Arial" w:ascii="Arial" w:hAnsi="Arial"/>
          <w:b/>
          <w:bCs/>
          <w:color w:val="000000"/>
          <w:sz w:val="20"/>
        </w:rPr>
        <w:t>cash flow benefit</w:t>
      </w:r>
      <w:r>
        <w:rPr>
          <w:rFonts w:cs="Arial" w:ascii="Arial" w:hAnsi="Arial"/>
          <w:color w:val="000000"/>
          <w:sz w:val="20"/>
        </w:rPr>
        <w:t xml:space="preserve"> (by management of tax expense) </w:t>
      </w:r>
      <w:r>
        <w:rPr>
          <w:rFonts w:cs="Arial" w:ascii="Arial" w:hAnsi="Arial"/>
          <w:b/>
          <w:bCs/>
          <w:color w:val="000000"/>
          <w:sz w:val="20"/>
        </w:rPr>
        <w:t>of</w:t>
      </w:r>
      <w:r>
        <w:rPr>
          <w:rFonts w:cs="Arial" w:ascii="Arial" w:hAnsi="Arial"/>
          <w:color w:val="000000"/>
          <w:sz w:val="20"/>
        </w:rPr>
        <w:t xml:space="preserve"> </w:t>
      </w:r>
      <w:r>
        <w:rPr>
          <w:rFonts w:cs="Arial" w:ascii="Arial" w:hAnsi="Arial"/>
          <w:b/>
          <w:bCs/>
          <w:color w:val="000000"/>
          <w:sz w:val="20"/>
        </w:rPr>
        <w:t>approximately $110 million</w:t>
      </w:r>
      <w:r>
        <w:rPr>
          <w:rFonts w:cs="Arial" w:ascii="Arial" w:hAnsi="Arial"/>
          <w:color w:val="000000"/>
          <w:sz w:val="20"/>
        </w:rPr>
        <w:t>.  In addition, provided tax advice to assist Montana Power Authority in addressing certain regulatory obstacles (i.e., private use restrictions) associated with the issuance of tax-exempt bonds to raise cash to engage in the transaction.</w:t>
      </w:r>
    </w:p>
    <w:p>
      <w:pPr>
        <w:pStyle w:val="Normal"/>
        <w:autoSpaceDE w:val="false"/>
        <w:rPr>
          <w:rFonts w:ascii="Arial" w:hAnsi="Arial" w:cs="Arial"/>
          <w:b/>
          <w:bCs/>
          <w:color w:val="000000"/>
          <w:sz w:val="20"/>
          <w:szCs w:val="20"/>
        </w:rPr>
      </w:pPr>
      <w:r>
        <w:rPr>
          <w:rFonts w:cs="Arial" w:ascii="Arial" w:hAnsi="Arial"/>
          <w:b/>
          <w:bCs/>
          <w:color w:val="000000"/>
          <w:sz w:val="20"/>
          <w:szCs w:val="20"/>
        </w:rPr>
      </w:r>
    </w:p>
    <w:p>
      <w:pPr>
        <w:pStyle w:val="Normal"/>
        <w:autoSpaceDE w:val="false"/>
        <w:rPr/>
      </w:pPr>
      <w:r>
        <w:rPr>
          <w:rFonts w:cs="Arial" w:ascii="Arial" w:hAnsi="Arial"/>
          <w:b/>
          <w:bCs/>
          <w:sz w:val="20"/>
          <w:szCs w:val="20"/>
        </w:rPr>
        <w:t>IRS Trading Presentation</w:t>
      </w:r>
      <w:r>
        <w:rPr>
          <w:rFonts w:cs="Arial" w:ascii="Arial" w:hAnsi="Arial"/>
          <w:sz w:val="20"/>
          <w:szCs w:val="20"/>
        </w:rPr>
        <w:t xml:space="preserve"> – </w:t>
      </w:r>
      <w:r>
        <w:rPr>
          <w:rFonts w:cs="Arial" w:ascii="Arial" w:hAnsi="Arial"/>
          <w:sz w:val="20"/>
        </w:rPr>
        <w:t>Presented an overview to the IRS on July 25</w:t>
      </w:r>
      <w:r>
        <w:rPr>
          <w:rFonts w:cs="Arial" w:ascii="Arial" w:hAnsi="Arial"/>
          <w:sz w:val="20"/>
          <w:vertAlign w:val="superscript"/>
        </w:rPr>
        <w:t>th</w:t>
      </w:r>
      <w:r>
        <w:rPr>
          <w:rFonts w:cs="Arial" w:ascii="Arial" w:hAnsi="Arial"/>
          <w:sz w:val="20"/>
        </w:rPr>
        <w:t xml:space="preserve"> regarding Enron’s trading activities during 1998 – 2000 in response to an IRS information request for a presentation (including a discussion of pricing, risk management and controls, accounting and tax facets of trading activities) on Enron’s power, coal, bandwidth, weather and credit derivatives.  The request focused on Enron’s newer traded derivatives and included products where the IRS is still formulating its position on what the proper tax treatment should be.  Collaborated closely with Georgeanne Hodges from EWS Accounting who jointly delivered such presentation.</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Brooklyn Navy Yard Project</w:t>
      </w:r>
      <w:r>
        <w:rPr>
          <w:rFonts w:cs="Arial" w:ascii="Arial" w:hAnsi="Arial"/>
          <w:sz w:val="20"/>
        </w:rPr>
        <w:t xml:space="preserve"> – Successfully negotiated with seller to make a special tax election so that Enron could obtain a tax basis in the assets to be acquired equal to its purchase price.  These elections are beneficial in 2 ways:  (1) a present value benefit resulting from the step-up in basis of $ 86 million, and (2) an elimination from the books of a prospective $100 million tax liability.  Also identified and successfully negotiated to Edison’s account a potential $10 million tax liability for NYC real estate transfer tax that the sellers tried to shift to Enron.</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EAS</w:t>
      </w:r>
      <w:r>
        <w:rPr>
          <w:rFonts w:cs="Arial" w:ascii="Arial" w:hAnsi="Arial"/>
          <w:sz w:val="20"/>
        </w:rPr>
        <w:t xml:space="preserve"> – Analyzed the optimal manner to facilitate the transfer of certain employees from EAS to ECE in order to best shelter income earned from other activities in Brazil with payroll expense of such employees.</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Electrobolt</w:t>
      </w:r>
      <w:r>
        <w:rPr>
          <w:rFonts w:cs="Arial" w:ascii="Arial" w:hAnsi="Arial"/>
          <w:sz w:val="20"/>
        </w:rPr>
        <w:t xml:space="preserve"> – Reviewed the draft term sheet for the sale of equity and the related draft Shareholder’s Agreement with the new investors.  Participated in calls related to, and provided written responses to potential investors regarding, the structure and tax treatment of the project and reviewed the Consortium Internal Directives.  Participated in meetings regarding the financing package for OPIC.</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sz w:val="20"/>
          <w:szCs w:val="20"/>
        </w:rPr>
        <w:t xml:space="preserve">Project Columbia </w:t>
      </w:r>
      <w:r>
        <w:rPr>
          <w:rFonts w:cs="Arial" w:ascii="Arial" w:hAnsi="Arial"/>
          <w:sz w:val="20"/>
          <w:szCs w:val="20"/>
        </w:rPr>
        <w:t>– Provided tax advice related to the</w:t>
      </w:r>
      <w:r>
        <w:rPr>
          <w:rFonts w:cs="Arial" w:ascii="Arial" w:hAnsi="Arial"/>
          <w:sz w:val="20"/>
        </w:rPr>
        <w:t xml:space="preserve"> execution of the Modern Continental Option Agreement and the McCook Purchase and Sale Agreement.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Cornhusker</w:t>
      </w:r>
      <w:r>
        <w:rPr>
          <w:rFonts w:cs="Arial" w:ascii="Arial" w:hAnsi="Arial"/>
          <w:sz w:val="20"/>
          <w:szCs w:val="20"/>
        </w:rPr>
        <w:t xml:space="preserve"> – </w:t>
      </w:r>
      <w:r>
        <w:rPr>
          <w:rFonts w:cs="Arial" w:ascii="Arial" w:hAnsi="Arial"/>
          <w:sz w:val="20"/>
        </w:rPr>
        <w:t>Reviewed the Purchase Agreement between Enron and El Paso for the sale of Enron’s interest (held indirectly through several different entities) in a 263 mega-watt power plant located in Cleburne, Texas.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rPr>
        <w:t>Project Dodger</w:t>
      </w:r>
      <w:r>
        <w:rPr>
          <w:rFonts w:cs="Arial" w:ascii="Arial" w:hAnsi="Arial"/>
          <w:sz w:val="20"/>
        </w:rPr>
        <w:t xml:space="preserve"> – Provided tax advice related to the application of the New York state natural gas importer tax ("Section 189 Tax") to Enron resulting from the purchase of a partnership that operates a co-generation facility in New York.  Analyzed the possible Section 189 Tax liability for the years under audit and the potential of passing such taxes through to the customers purchasing the electricity (e.g.,</w:t>
      </w:r>
      <w:r>
        <w:rPr>
          <w:rFonts w:cs="Arial" w:ascii="Arial" w:hAnsi="Arial"/>
          <w:i/>
          <w:iCs/>
          <w:sz w:val="20"/>
        </w:rPr>
        <w:t xml:space="preserve"> </w:t>
      </w:r>
      <w:r>
        <w:rPr>
          <w:rFonts w:cs="Arial" w:ascii="Arial" w:hAnsi="Arial"/>
          <w:sz w:val="20"/>
        </w:rPr>
        <w:t>Con-Ed).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rPr>
        <w:t>Project FAPSA</w:t>
      </w:r>
      <w:r>
        <w:rPr>
          <w:rFonts w:cs="Arial" w:ascii="Arial" w:hAnsi="Arial"/>
          <w:sz w:val="20"/>
        </w:rPr>
        <w:t xml:space="preserve"> – </w:t>
      </w:r>
    </w:p>
    <w:p>
      <w:pPr>
        <w:pStyle w:val="Normal"/>
        <w:numPr>
          <w:ilvl w:val="0"/>
          <w:numId w:val="2"/>
        </w:numPr>
        <w:tabs>
          <w:tab w:val="clear" w:pos="720"/>
        </w:tabs>
        <w:autoSpaceDE w:val="false"/>
        <w:ind w:hanging="360" w:start="360" w:end="0"/>
        <w:rPr>
          <w:rFonts w:ascii="Arial" w:hAnsi="Arial" w:cs="Arial"/>
          <w:sz w:val="20"/>
        </w:rPr>
      </w:pPr>
      <w:r>
        <w:rPr>
          <w:rFonts w:cs="Arial" w:ascii="Arial" w:hAnsi="Arial"/>
          <w:sz w:val="20"/>
        </w:rPr>
        <w:t>Reviewed and revised PPA and Excess Energy Agreement to address certain tax issues.</w:t>
      </w:r>
    </w:p>
    <w:p>
      <w:pPr>
        <w:pStyle w:val="Normal"/>
        <w:numPr>
          <w:ilvl w:val="0"/>
          <w:numId w:val="2"/>
        </w:numPr>
        <w:tabs>
          <w:tab w:val="clear" w:pos="720"/>
        </w:tabs>
        <w:autoSpaceDE w:val="false"/>
        <w:ind w:hanging="360" w:start="360" w:end="0"/>
        <w:rPr>
          <w:rFonts w:ascii="Arial" w:hAnsi="Arial" w:cs="Arial"/>
          <w:sz w:val="20"/>
        </w:rPr>
      </w:pPr>
      <w:r>
        <w:rPr>
          <w:rFonts w:cs="Arial" w:ascii="Arial" w:hAnsi="Arial"/>
          <w:sz w:val="20"/>
        </w:rPr>
        <w:t>Researched California tax jurisdiction issues stemming from the sale of electricity in Mexico and delivery into California.</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Project Hartwell and Project Athens Energy Centers</w:t>
      </w:r>
      <w:r>
        <w:rPr>
          <w:rFonts w:cs="Arial" w:ascii="Arial" w:hAnsi="Arial"/>
          <w:sz w:val="20"/>
          <w:szCs w:val="20"/>
        </w:rPr>
        <w:t xml:space="preserve"> - </w:t>
      </w:r>
      <w:r>
        <w:rPr>
          <w:rFonts w:cs="Arial" w:ascii="Arial" w:hAnsi="Arial"/>
          <w:sz w:val="20"/>
        </w:rPr>
        <w:t>Met with Raimund Grube to discuss initial tax research undertaken with regard to state income, franchise, sales and use taxes pertaining to the construction of power plants in Clark and Hunt counties in Georgia.</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u w:val="single"/>
        </w:rPr>
      </w:pPr>
      <w:r>
        <w:rPr>
          <w:rFonts w:cs="Arial" w:ascii="Arial" w:hAnsi="Arial"/>
          <w:b/>
          <w:bCs/>
          <w:color w:val="000000"/>
          <w:sz w:val="20"/>
        </w:rPr>
        <w:t>Project LVC</w:t>
      </w:r>
      <w:r>
        <w:rPr>
          <w:rFonts w:cs="Arial" w:ascii="Arial" w:hAnsi="Arial"/>
          <w:color w:val="000000"/>
          <w:sz w:val="20"/>
        </w:rPr>
        <w:t xml:space="preserve"> - </w:t>
      </w:r>
      <w:r>
        <w:rPr>
          <w:rFonts w:cs="Arial" w:ascii="Arial" w:hAnsi="Arial"/>
          <w:sz w:val="20"/>
        </w:rPr>
        <w:t>Prepared state resale tax certificates related to the purchase and subsequent sale of turbo steam generators and related equipment in order to enable Enron to avoid payment of state sales tax.</w:t>
      </w:r>
    </w:p>
    <w:p>
      <w:pPr>
        <w:pStyle w:val="Normal"/>
        <w:autoSpaceDE w:val="false"/>
        <w:rPr>
          <w:rFonts w:ascii="Arial" w:hAnsi="Arial" w:cs="Arial"/>
          <w:b/>
          <w:bCs/>
          <w:sz w:val="20"/>
          <w:szCs w:val="20"/>
          <w:u w:val="single"/>
        </w:rPr>
      </w:pPr>
      <w:r>
        <w:rPr>
          <w:rFonts w:cs="Arial" w:ascii="Arial" w:hAnsi="Arial"/>
          <w:b/>
          <w:bCs/>
          <w:sz w:val="20"/>
          <w:szCs w:val="20"/>
          <w:u w:val="single"/>
        </w:rPr>
      </w:r>
    </w:p>
    <w:p>
      <w:pPr>
        <w:pStyle w:val="Normal"/>
        <w:autoSpaceDE w:val="false"/>
        <w:rPr>
          <w:rFonts w:ascii="Arial" w:hAnsi="Arial" w:cs="Arial"/>
          <w:color w:val="000000"/>
          <w:sz w:val="20"/>
        </w:rPr>
      </w:pPr>
      <w:r>
        <w:rPr>
          <w:rFonts w:cs="Arial" w:ascii="Arial" w:hAnsi="Arial"/>
          <w:b/>
          <w:bCs/>
          <w:color w:val="000000"/>
          <w:sz w:val="20"/>
        </w:rPr>
        <w:t>Project Miracle</w:t>
      </w:r>
      <w:r>
        <w:rPr>
          <w:rFonts w:cs="Arial" w:ascii="Arial" w:hAnsi="Arial"/>
          <w:color w:val="000000"/>
          <w:sz w:val="20"/>
        </w:rPr>
        <w:t xml:space="preserve"> - </w:t>
      </w:r>
      <w:r>
        <w:rPr>
          <w:rFonts w:cs="Arial" w:ascii="Arial" w:hAnsi="Arial"/>
          <w:sz w:val="20"/>
        </w:rPr>
        <w:t>Reviewed and revised the Purchase Agreements for the sale of limited and general partner interests in entities that own a power plant.  Engaged in discussions with the El Paso Tax Department related to tax due diligence requests and project structure.</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autoSpaceDE w:val="false"/>
        <w:rPr>
          <w:rFonts w:ascii="Arial" w:hAnsi="Arial" w:cs="Arial"/>
          <w:color w:val="000000"/>
          <w:sz w:val="20"/>
        </w:rPr>
      </w:pPr>
      <w:r>
        <w:rPr>
          <w:rFonts w:cs="Arial" w:ascii="Arial" w:hAnsi="Arial"/>
          <w:b/>
          <w:bCs/>
          <w:color w:val="000000"/>
          <w:sz w:val="20"/>
        </w:rPr>
        <w:t>Project Vitro –</w:t>
      </w:r>
      <w:r>
        <w:rPr>
          <w:rFonts w:cs="Arial" w:ascii="Arial" w:hAnsi="Arial"/>
          <w:color w:val="000000"/>
          <w:sz w:val="20"/>
        </w:rPr>
        <w:t xml:space="preserve"> </w:t>
      </w:r>
      <w:r>
        <w:rPr>
          <w:rFonts w:cs="Arial" w:ascii="Arial" w:hAnsi="Arial"/>
          <w:sz w:val="20"/>
        </w:rPr>
        <w:t>Analyzed and discussed with various parties the appropriate steps to distribute approximately $10 million from a Mexican subsidiary in order to avoid a Mexican distribution tax imposed at a rate of 53.85 percent (</w:t>
      </w:r>
      <w:r>
        <w:rPr>
          <w:rFonts w:cs="Arial" w:ascii="Arial" w:hAnsi="Arial"/>
          <w:b/>
          <w:bCs/>
          <w:sz w:val="20"/>
        </w:rPr>
        <w:t>thus resulting in tax savings of approximately $5 million</w:t>
      </w:r>
      <w:r>
        <w:rPr>
          <w:rFonts w:cs="Arial" w:ascii="Arial" w:hAnsi="Arial"/>
          <w:sz w:val="20"/>
        </w:rPr>
        <w:t>).</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sz w:val="20"/>
        </w:rPr>
        <w:t>Structured Finance</w:t>
      </w:r>
      <w:r>
        <w:rPr>
          <w:rFonts w:cs="Arial" w:ascii="Arial" w:hAnsi="Arial"/>
          <w:sz w:val="20"/>
        </w:rPr>
        <w:t xml:space="preserve"> – Continued discussions regarding an Argentine finance structure.</w:t>
      </w:r>
    </w:p>
    <w:p>
      <w:pPr>
        <w:pStyle w:val="Normal"/>
        <w:autoSpaceDE w:val="false"/>
        <w:rPr>
          <w:rFonts w:ascii="Arial" w:hAnsi="Arial" w:cs="Arial"/>
          <w:sz w:val="20"/>
        </w:rPr>
      </w:pPr>
      <w:r>
        <w:rPr>
          <w:rFonts w:cs="Arial" w:ascii="Arial" w:hAnsi="Arial"/>
          <w:sz w:val="20"/>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Heading1"/>
        <w:ind w:hanging="0" w:start="0"/>
        <w:jc w:val="start"/>
        <w:rPr>
          <w:sz w:val="20"/>
        </w:rPr>
      </w:pPr>
      <w:r>
        <w:rPr>
          <w:sz w:val="20"/>
        </w:rPr>
        <w:t>Enron Industrial Markets</w:t>
      </w:r>
    </w:p>
    <w:p>
      <w:pPr>
        <w:pStyle w:val="Normal"/>
        <w:rPr>
          <w:rFonts w:ascii="Arial" w:hAnsi="Arial" w:cs="Arial"/>
          <w:sz w:val="20"/>
        </w:rPr>
      </w:pPr>
      <w:r>
        <w:rPr>
          <w:rFonts w:cs="Arial" w:ascii="Arial" w:hAnsi="Arial"/>
          <w:sz w:val="20"/>
        </w:rPr>
      </w:r>
    </w:p>
    <w:p>
      <w:pPr>
        <w:pStyle w:val="Normal"/>
        <w:spacing w:lineRule="atLeast" w:line="240"/>
        <w:rPr>
          <w:rFonts w:ascii="Arial" w:hAnsi="Arial" w:cs="Arial"/>
          <w:color w:val="000000"/>
          <w:sz w:val="20"/>
        </w:rPr>
      </w:pPr>
      <w:r>
        <w:rPr>
          <w:rFonts w:cs="Arial" w:ascii="Arial" w:hAnsi="Arial"/>
          <w:b/>
          <w:bCs/>
          <w:color w:val="000000"/>
          <w:sz w:val="20"/>
        </w:rPr>
        <w:t>EIM Asia</w:t>
      </w:r>
      <w:r>
        <w:rPr>
          <w:rFonts w:cs="Arial" w:ascii="Arial" w:hAnsi="Arial"/>
          <w:sz w:val="20"/>
        </w:rPr>
        <w:t xml:space="preserve"> – </w:t>
      </w:r>
      <w:r>
        <w:rPr>
          <w:rFonts w:cs="Arial" w:ascii="Arial" w:hAnsi="Arial"/>
          <w:b/>
          <w:bCs/>
          <w:color w:val="000000"/>
          <w:sz w:val="20"/>
        </w:rPr>
        <w:t>Taiwan and India</w:t>
      </w:r>
      <w:r>
        <w:rPr>
          <w:rFonts w:cs="Arial" w:ascii="Arial" w:hAnsi="Arial"/>
          <w:color w:val="000000"/>
          <w:sz w:val="20"/>
        </w:rPr>
        <w:t xml:space="preserve"> - </w:t>
      </w:r>
      <w:r>
        <w:rPr>
          <w:rFonts w:cs="Arial" w:ascii="Arial" w:hAnsi="Arial"/>
          <w:sz w:val="20"/>
        </w:rPr>
        <w:t>Held d</w:t>
      </w:r>
      <w:r>
        <w:rPr>
          <w:rFonts w:cs="Arial" w:ascii="Arial" w:hAnsi="Arial"/>
          <w:sz w:val="20"/>
          <w:szCs w:val="18"/>
        </w:rPr>
        <w:t>iscussions with EIM traders concerning Indian and Taiwanese tax implications of transactions with customers in these countries.</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sz w:val="20"/>
        </w:rPr>
        <w:t>Project Atlas Tube</w:t>
      </w:r>
      <w:r>
        <w:rPr>
          <w:rFonts w:cs="Arial" w:ascii="Arial" w:hAnsi="Arial"/>
          <w:sz w:val="20"/>
        </w:rPr>
        <w:t xml:space="preserve"> - Met with origination team and Regulatory Affairs to discuss export tax issues relating to the sale and purchase of hot rolled coil steel.</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sz w:val="20"/>
          <w:szCs w:val="20"/>
        </w:rPr>
        <w:t xml:space="preserve">Project Canary – </w:t>
      </w:r>
      <w:r>
        <w:rPr>
          <w:rFonts w:cs="Arial" w:ascii="Arial" w:hAnsi="Arial"/>
          <w:sz w:val="20"/>
        </w:rPr>
        <w:t>Researching ability to use tax losses upon a change in ownership/control of a company being considered for acquisition and determining how best to finance its purchase from a tax perspective, including the applicability of Project Slapshot technology to the proposed acquisition.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color w:val="000000"/>
          <w:sz w:val="20"/>
        </w:rPr>
      </w:pPr>
      <w:r>
        <w:rPr>
          <w:rFonts w:cs="Arial" w:ascii="Arial" w:hAnsi="Arial"/>
          <w:b/>
          <w:bCs/>
          <w:sz w:val="20"/>
        </w:rPr>
        <w:t>Leaf River –</w:t>
      </w:r>
      <w:r>
        <w:rPr>
          <w:rFonts w:cs="Arial" w:ascii="Arial" w:hAnsi="Arial"/>
          <w:sz w:val="20"/>
        </w:rPr>
        <w:t xml:space="preserve"> Provided tax advice related to the potential purchase of a paper mill located in Mississippi.  Most significantly, assisted in devising a novel acquisition structure to permit the seller to defer current payment of taxes resulting from the “sale” of the mill to Enron in order to assist in bridging a valuation gap between Enron and the seller.  The proposed form of acquisition structure would provide </w:t>
      </w:r>
      <w:r>
        <w:rPr>
          <w:rFonts w:cs="Arial" w:ascii="Arial" w:hAnsi="Arial"/>
          <w:b/>
          <w:bCs/>
          <w:sz w:val="20"/>
        </w:rPr>
        <w:t>approximately $20 million of tax savings</w:t>
      </w:r>
      <w:r>
        <w:rPr>
          <w:rFonts w:cs="Arial" w:ascii="Arial" w:hAnsi="Arial"/>
          <w:sz w:val="20"/>
        </w:rPr>
        <w:t xml:space="preserve"> to the seller.</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color w:val="000000"/>
          <w:sz w:val="20"/>
        </w:rPr>
      </w:r>
    </w:p>
    <w:p>
      <w:pPr>
        <w:pStyle w:val="Heading1"/>
        <w:spacing w:lineRule="atLeast" w:line="240"/>
        <w:ind w:hanging="0" w:start="0"/>
        <w:jc w:val="start"/>
        <w:rPr>
          <w:sz w:val="20"/>
        </w:rPr>
      </w:pPr>
      <w:r>
        <w:rPr>
          <w:sz w:val="20"/>
        </w:rPr>
        <w:t>Enron Global Markets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KCS Volumetric Production Payment Transaction</w:t>
      </w:r>
      <w:r>
        <w:rPr>
          <w:rFonts w:cs="Arial" w:ascii="Arial" w:hAnsi="Arial"/>
          <w:sz w:val="20"/>
          <w:szCs w:val="20"/>
        </w:rPr>
        <w:t xml:space="preserve"> – Provided tax advice related to structuring the insurance wrap (through financial derivatives) of a volumetric production payment arranged by Enron for KCS.  EWS Tax resolved several novel and complicated tax issues related to this transaction, most notably a U.S. withholding tax issue the resolution of which resulted in elimination of </w:t>
      </w:r>
      <w:r>
        <w:rPr>
          <w:rFonts w:cs="Arial" w:ascii="Arial" w:hAnsi="Arial"/>
          <w:b/>
          <w:bCs/>
          <w:sz w:val="20"/>
          <w:szCs w:val="20"/>
        </w:rPr>
        <w:t>an approximate $5 million per year tax liability</w:t>
      </w:r>
      <w:r>
        <w:rPr>
          <w:rFonts w:cs="Arial" w:ascii="Arial" w:hAnsi="Arial"/>
          <w:sz w:val="20"/>
          <w:szCs w:val="20"/>
        </w:rPr>
        <w: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Bahamas LNG</w:t>
      </w:r>
      <w:r>
        <w:rPr>
          <w:rFonts w:cs="Arial" w:ascii="Arial" w:hAnsi="Arial"/>
          <w:sz w:val="20"/>
          <w:szCs w:val="20"/>
        </w:rPr>
        <w:t xml:space="preserve"> - </w:t>
      </w:r>
      <w:r>
        <w:rPr>
          <w:rFonts w:cs="Arial" w:ascii="Arial" w:hAnsi="Arial"/>
          <w:sz w:val="20"/>
        </w:rPr>
        <w:t>Held discussions regarding tax issues related to commingling transportation and LNG facility tolling and storage income and potential double taxation related to such commingling.  Began review of the optimum place to strip liquids associated with the pipeline from a tax perspective.</w:t>
      </w:r>
    </w:p>
    <w:p>
      <w:pPr>
        <w:pStyle w:val="Normal"/>
        <w:autoSpaceDE w:val="false"/>
        <w:rPr>
          <w:rFonts w:ascii="Arial" w:hAnsi="Arial" w:cs="Arial"/>
          <w:sz w:val="20"/>
          <w:szCs w:val="20"/>
        </w:rPr>
      </w:pPr>
      <w:r>
        <w:rPr>
          <w:rFonts w:cs="Arial" w:ascii="Arial" w:hAnsi="Arial"/>
          <w:sz w:val="20"/>
          <w:szCs w:val="20"/>
        </w:rPr>
      </w:r>
    </w:p>
    <w:p>
      <w:pPr>
        <w:pStyle w:val="Normal"/>
        <w:rPr/>
      </w:pPr>
      <w:r>
        <w:rPr>
          <w:rFonts w:cs="Arial" w:ascii="Arial" w:hAnsi="Arial"/>
          <w:b/>
          <w:bCs/>
          <w:sz w:val="20"/>
        </w:rPr>
        <w:t>China Coal Trading</w:t>
      </w:r>
      <w:r>
        <w:rPr>
          <w:rFonts w:cs="Arial" w:ascii="Arial" w:hAnsi="Arial"/>
          <w:sz w:val="20"/>
        </w:rPr>
        <w:t xml:space="preserve"> – Held discussions with EWS Tax (London), the Legal Department and China commercial team regarding coordination of the tax planning for China coal trading.  Commenced discussions with Chinese tax counsel to determine optimum legal entities through which to trade in China.</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Eco Electrica Sale</w:t>
      </w:r>
      <w:r>
        <w:rPr>
          <w:rFonts w:cs="Arial" w:ascii="Arial" w:hAnsi="Arial"/>
          <w:sz w:val="20"/>
          <w:szCs w:val="20"/>
        </w:rPr>
        <w:t xml:space="preserve"> – </w:t>
      </w:r>
      <w:r>
        <w:rPr>
          <w:rFonts w:cs="Arial" w:ascii="Arial" w:hAnsi="Arial"/>
          <w:sz w:val="20"/>
        </w:rPr>
        <w:t>Reviewed, commented on and made revisions to several drafts of the Stock Purchase Agreement for the sale of Eco Electrica.   Participated in several conference calls to discuss tax issues related to the agreements with Edison.  Continued to provide responses to tax due diligence questions.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Elba Island LNG</w:t>
      </w:r>
      <w:r>
        <w:rPr>
          <w:rFonts w:cs="Arial" w:ascii="Arial" w:hAnsi="Arial"/>
          <w:sz w:val="20"/>
          <w:szCs w:val="20"/>
        </w:rPr>
        <w:t xml:space="preserve"> - </w:t>
      </w:r>
      <w:r>
        <w:rPr>
          <w:rFonts w:cs="Arial" w:ascii="Arial" w:hAnsi="Arial"/>
          <w:sz w:val="20"/>
        </w:rPr>
        <w:t>Reviewed and analyzed tax benefits of establishing Elba as a Free Trade Zone.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color w:val="000000"/>
          <w:sz w:val="20"/>
        </w:rPr>
        <w:t>Enron Freight Markets</w:t>
      </w:r>
      <w:r>
        <w:rPr>
          <w:rFonts w:cs="Arial" w:ascii="Arial" w:hAnsi="Arial"/>
          <w:color w:val="000000"/>
          <w:sz w:val="20"/>
        </w:rPr>
        <w:t xml:space="preserve"> – </w:t>
      </w:r>
    </w:p>
    <w:p>
      <w:pPr>
        <w:pStyle w:val="Normal"/>
        <w:numPr>
          <w:ilvl w:val="0"/>
          <w:numId w:val="5"/>
        </w:numPr>
        <w:tabs>
          <w:tab w:val="clear" w:pos="720"/>
        </w:tabs>
        <w:autoSpaceDE w:val="false"/>
        <w:ind w:hanging="360" w:start="360" w:end="0"/>
        <w:rPr>
          <w:rFonts w:ascii="Arial" w:hAnsi="Arial" w:cs="Arial"/>
          <w:sz w:val="20"/>
          <w:szCs w:val="20"/>
        </w:rPr>
      </w:pPr>
      <w:r>
        <w:rPr>
          <w:rFonts w:cs="Arial" w:ascii="Arial" w:hAnsi="Arial"/>
          <w:sz w:val="20"/>
        </w:rPr>
        <w:t>Continued research of state issues for EFM agreements.  Researched and determined state tax implications for freight capacity trading in various states including Texas, California, Ohio, Illinois, New Jersey and Georgia.</w:t>
      </w:r>
    </w:p>
    <w:p>
      <w:pPr>
        <w:pStyle w:val="BulletText1"/>
        <w:numPr>
          <w:ilvl w:val="0"/>
          <w:numId w:val="5"/>
        </w:numPr>
        <w:tabs>
          <w:tab w:val="clear" w:pos="720"/>
        </w:tabs>
        <w:autoSpaceDE w:val="false"/>
        <w:ind w:hanging="360" w:start="360" w:end="0"/>
        <w:rPr>
          <w:rFonts w:ascii="Arial" w:hAnsi="Arial" w:cs="Arial"/>
          <w:szCs w:val="24"/>
        </w:rPr>
      </w:pPr>
      <w:r>
        <w:rPr>
          <w:rFonts w:cs="Arial" w:ascii="Arial" w:hAnsi="Arial"/>
          <w:szCs w:val="24"/>
        </w:rPr>
        <w:t>Continued discussions regarding EFM Canadian and Mexican activities, including characterization of income projected to be earned and use of master agreement.</w:t>
      </w:r>
    </w:p>
    <w:p>
      <w:pPr>
        <w:pStyle w:val="Normal"/>
        <w:autoSpaceDE w:val="false"/>
        <w:rPr>
          <w:rFonts w:ascii="Arial" w:hAnsi="Arial" w:cs="Arial"/>
          <w:color w:val="000000"/>
          <w:sz w:val="20"/>
          <w:szCs w:val="24"/>
        </w:rPr>
      </w:pPr>
      <w:r>
        <w:rPr>
          <w:rFonts w:cs="Arial" w:ascii="Arial" w:hAnsi="Arial"/>
          <w:color w:val="000000"/>
          <w:sz w:val="20"/>
          <w:szCs w:val="24"/>
        </w:rPr>
      </w:r>
    </w:p>
    <w:p>
      <w:pPr>
        <w:pStyle w:val="Normal"/>
        <w:autoSpaceDE w:val="false"/>
        <w:rPr/>
      </w:pPr>
      <w:r>
        <w:rPr>
          <w:rFonts w:cs="Arial" w:ascii="Arial" w:hAnsi="Arial"/>
          <w:b/>
          <w:bCs/>
          <w:color w:val="000000"/>
          <w:sz w:val="20"/>
        </w:rPr>
        <w:t>Enron Markets Claims Trading</w:t>
      </w:r>
      <w:r>
        <w:rPr>
          <w:rFonts w:cs="Arial" w:ascii="Arial" w:hAnsi="Arial"/>
          <w:color w:val="000000"/>
          <w:sz w:val="20"/>
        </w:rPr>
        <w:t xml:space="preserve"> – </w:t>
      </w:r>
      <w:r>
        <w:rPr>
          <w:rFonts w:cs="Arial" w:ascii="Arial" w:hAnsi="Arial"/>
          <w:sz w:val="20"/>
        </w:rPr>
        <w:t>Continued discussions with various parties (including tax counsel for proposed joint venture partner) concerning revenue sharing agreement, use of intermediate Bermuda company, funding and repatriation of capital, and trading of claims with counterparties.</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b/>
          <w:bCs/>
          <w:color w:val="000000"/>
          <w:sz w:val="20"/>
        </w:rPr>
        <w:t xml:space="preserve">Enron Shipping Desk </w:t>
      </w:r>
      <w:r>
        <w:rPr>
          <w:rFonts w:cs="Arial" w:ascii="Arial" w:hAnsi="Arial"/>
          <w:color w:val="000000"/>
          <w:sz w:val="20"/>
        </w:rPr>
        <w:t>– C</w:t>
      </w:r>
      <w:r>
        <w:rPr>
          <w:rFonts w:cs="Arial" w:ascii="Arial" w:hAnsi="Arial"/>
          <w:sz w:val="20"/>
          <w:szCs w:val="20"/>
        </w:rPr>
        <w:t>ontinued dialogue with shipping originators about tax risk they are assuming under the form ship charter contract currently being used.</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Inventory Financing Proposals</w:t>
      </w:r>
      <w:r>
        <w:rPr>
          <w:rFonts w:cs="Arial" w:ascii="Arial" w:hAnsi="Arial"/>
          <w:color w:val="000000"/>
          <w:sz w:val="20"/>
        </w:rPr>
        <w:t xml:space="preserve"> – </w:t>
      </w:r>
    </w:p>
    <w:p>
      <w:pPr>
        <w:pStyle w:val="BulletText1"/>
        <w:numPr>
          <w:ilvl w:val="0"/>
          <w:numId w:val="4"/>
        </w:numPr>
        <w:tabs>
          <w:tab w:val="clear" w:pos="720"/>
        </w:tabs>
        <w:autoSpaceDE w:val="false"/>
        <w:ind w:hanging="360" w:start="360" w:end="0"/>
        <w:rPr>
          <w:rFonts w:ascii="Arial" w:hAnsi="Arial" w:cs="Arial"/>
          <w:color w:val="000000"/>
          <w:szCs w:val="24"/>
        </w:rPr>
      </w:pPr>
      <w:r>
        <w:rPr>
          <w:rFonts w:cs="Arial" w:ascii="Arial" w:hAnsi="Arial"/>
          <w:szCs w:val="24"/>
        </w:rPr>
        <w:t>Attended second due diligence meeting regarding inventory financing transaction.  Continued to research state and local tax issues relating to sales and use tax, property tax and excise taxes for certain commodities.  Met with Enron Excise Tax group to discuss the present tax treatment of products/fuels in certain states including California, New Jersey, Mississippi, Missouri, Illinois and Texas.</w:t>
      </w:r>
    </w:p>
    <w:p>
      <w:pPr>
        <w:pStyle w:val="BulletText1"/>
        <w:numPr>
          <w:ilvl w:val="0"/>
          <w:numId w:val="4"/>
        </w:numPr>
        <w:tabs>
          <w:tab w:val="clear" w:pos="720"/>
        </w:tabs>
        <w:autoSpaceDE w:val="false"/>
        <w:ind w:hanging="360" w:start="360" w:end="0"/>
        <w:rPr>
          <w:rFonts w:ascii="Arial" w:hAnsi="Arial" w:cs="Arial"/>
          <w:color w:val="000000"/>
          <w:szCs w:val="24"/>
        </w:rPr>
      </w:pPr>
      <w:r>
        <w:rPr>
          <w:rFonts w:cs="Arial" w:ascii="Arial" w:hAnsi="Arial"/>
        </w:rPr>
        <w:t>Continued discussions with EWS Tax (London) and EWS Global Finance regarding tax and other concerns relating to an inventory financing for liquid products located in the Americas.</w:t>
      </w:r>
    </w:p>
    <w:p>
      <w:pPr>
        <w:pStyle w:val="Normal"/>
        <w:autoSpaceDE w:val="false"/>
        <w:rPr>
          <w:rFonts w:ascii="Arial" w:hAnsi="Arial" w:cs="Arial"/>
          <w:color w:val="000000"/>
          <w:sz w:val="20"/>
          <w:szCs w:val="24"/>
        </w:rPr>
      </w:pPr>
      <w:r>
        <w:rPr>
          <w:rFonts w:cs="Arial" w:ascii="Arial" w:hAnsi="Arial"/>
          <w:color w:val="000000"/>
          <w:sz w:val="20"/>
          <w:szCs w:val="24"/>
        </w:rPr>
      </w:r>
    </w:p>
    <w:p>
      <w:pPr>
        <w:pStyle w:val="Normal"/>
        <w:autoSpaceDE w:val="false"/>
        <w:rPr/>
      </w:pPr>
      <w:r>
        <w:rPr>
          <w:rFonts w:cs="Arial" w:ascii="Arial" w:hAnsi="Arial"/>
          <w:b/>
          <w:bCs/>
          <w:color w:val="000000"/>
          <w:sz w:val="20"/>
        </w:rPr>
        <w:t>Japan Trading Office</w:t>
      </w:r>
      <w:r>
        <w:rPr>
          <w:rFonts w:cs="Arial" w:ascii="Arial" w:hAnsi="Arial"/>
          <w:color w:val="000000"/>
          <w:sz w:val="20"/>
        </w:rPr>
        <w:t xml:space="preserve"> – Continued review of the Japanese tax issues from the proliferation of agency relationships from the various trading activities occurring through the Japan trading office and reviewed draft of preliminary Japanese tax advice.</w:t>
      </w:r>
    </w:p>
    <w:p>
      <w:pPr>
        <w:pStyle w:val="Normal"/>
        <w:autoSpaceDE w:val="false"/>
        <w:rPr>
          <w:rFonts w:ascii="Arial" w:hAnsi="Arial" w:cs="Arial"/>
          <w:color w:val="000000"/>
          <w:sz w:val="20"/>
        </w:rPr>
      </w:pPr>
      <w:r>
        <w:rPr>
          <w:rFonts w:cs="Arial" w:ascii="Arial" w:hAnsi="Arial"/>
          <w:color w:val="000000"/>
          <w:sz w:val="20"/>
        </w:rPr>
      </w:r>
    </w:p>
    <w:p>
      <w:pPr>
        <w:pStyle w:val="BodyText"/>
        <w:rPr/>
      </w:pPr>
      <w:r>
        <w:rPr>
          <w:rFonts w:cs="Arial" w:ascii="Arial" w:hAnsi="Arial"/>
          <w:b/>
          <w:bCs/>
        </w:rPr>
        <w:t>PREPA ISDA</w:t>
      </w:r>
      <w:r>
        <w:rPr>
          <w:rFonts w:cs="Arial" w:ascii="Arial" w:hAnsi="Arial"/>
        </w:rPr>
        <w:t xml:space="preserve"> - Reviewed and revised tax representations for interest rate swap with Puerto Rico Electric Power Authority.</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sz w:val="20"/>
          <w:szCs w:val="20"/>
        </w:rPr>
        <w:t xml:space="preserve">Project Fireball - </w:t>
      </w:r>
      <w:r>
        <w:rPr>
          <w:rFonts w:cs="Arial" w:ascii="Arial" w:hAnsi="Arial"/>
          <w:sz w:val="20"/>
        </w:rPr>
        <w:t>Traveled to Denver to review due diligence materials.  Began summarizing due diligence findings.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Heading1"/>
        <w:ind w:hanging="0" w:start="0"/>
        <w:jc w:val="start"/>
        <w:rPr>
          <w:sz w:val="20"/>
        </w:rPr>
      </w:pPr>
      <w:r>
        <w:rPr>
          <w:sz w:val="20"/>
        </w:rPr>
        <w:t>Enron Net Works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EnronOnline Products</w:t>
      </w:r>
      <w:r>
        <w:rPr>
          <w:rFonts w:cs="Arial" w:ascii="Arial" w:hAnsi="Arial"/>
          <w:sz w:val="20"/>
          <w:szCs w:val="20"/>
        </w:rPr>
        <w:t xml:space="preserve"> – Continued analysis of transactions relating to new WTI look-alike product to be offered by Japan trading office.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Commodity Logic and EnronOnline</w:t>
      </w:r>
      <w:r>
        <w:rPr>
          <w:rFonts w:cs="Arial" w:ascii="Arial" w:hAnsi="Arial"/>
          <w:sz w:val="20"/>
          <w:szCs w:val="20"/>
        </w:rPr>
        <w:t xml:space="preserve"> – Commenced the analysis and development of the optimal ownership structure for Commodity Logic and EnronOnline to provide Enron with the greatest prospective ownership and commercial opportunities related to such technology platforms.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EnronOnline/Metals Buy-In Payment</w:t>
      </w:r>
      <w:r>
        <w:rPr>
          <w:rFonts w:cs="Arial" w:ascii="Arial" w:hAnsi="Arial"/>
          <w:sz w:val="20"/>
          <w:szCs w:val="20"/>
        </w:rPr>
        <w:t xml:space="preserve"> – Undertook tax valuation of the value to Enron Metals of transacting through EnronOnline in order to support the payment to be made by Enron Metals to Enron Networks for the use of EnronOnline.  EnronOnline is owned for tax purposes by each Enron subsidiary that transacts through EnronOnline and new participants to EnronOnline (such as Enron Metals) must pay for the use of EnronOnline in order to avoid negative U.S. tax consequences.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18"/>
          <w:szCs w:val="20"/>
        </w:rPr>
      </w:pPr>
      <w:r>
        <w:rPr>
          <w:rFonts w:cs="Arial" w:ascii="Arial" w:hAnsi="Arial"/>
          <w:sz w:val="18"/>
          <w:szCs w:val="20"/>
        </w:rPr>
      </w:r>
    </w:p>
    <w:p>
      <w:pPr>
        <w:pStyle w:val="Normal"/>
        <w:autoSpaceDE w:val="false"/>
        <w:rPr>
          <w:rFonts w:ascii="Arial" w:hAnsi="Arial" w:cs="Arial"/>
          <w:sz w:val="18"/>
          <w:szCs w:val="20"/>
        </w:rPr>
      </w:pPr>
      <w:r>
        <w:rPr>
          <w:rFonts w:cs="Arial" w:ascii="Arial" w:hAnsi="Arial"/>
          <w:sz w:val="18"/>
          <w:szCs w:val="20"/>
        </w:rPr>
        <w:t xml:space="preserve">File:  </w:t>
      </w:r>
      <w:r>
        <w:rPr>
          <w:rFonts w:cs="Arial" w:ascii="Arial" w:hAnsi="Arial"/>
          <w:sz w:val="18"/>
          <w:szCs w:val="20"/>
        </w:rPr>
        <w:fldChar w:fldCharType="begin"/>
      </w:r>
      <w:r>
        <w:rPr>
          <w:sz w:val="18"/>
          <w:szCs w:val="20"/>
          <w:rFonts w:cs="Arial" w:ascii="Arial" w:hAnsi="Arial"/>
        </w:rPr>
        <w:instrText xml:space="preserve"> FILENAME </w:instrText>
      </w:r>
      <w:r>
        <w:rPr>
          <w:sz w:val="18"/>
          <w:szCs w:val="20"/>
          <w:rFonts w:cs="Arial" w:ascii="Arial" w:hAnsi="Arial"/>
        </w:rPr>
        <w:fldChar w:fldCharType="separate"/>
      </w:r>
      <w:r>
        <w:rPr>
          <w:sz w:val="18"/>
          <w:szCs w:val="20"/>
          <w:rFonts w:cs="Arial" w:ascii="Arial" w:hAnsi="Arial"/>
        </w:rPr>
        <w:t>SDH_EWS_Tax_Report8_3_01.doc</w:t>
      </w:r>
      <w:r>
        <w:rPr>
          <w:sz w:val="18"/>
          <w:szCs w:val="20"/>
          <w:rFonts w:cs="Arial" w:ascii="Arial" w:hAnsi="Arial"/>
        </w:rPr>
        <w:fldChar w:fldCharType="end"/>
      </w:r>
    </w:p>
    <w:p>
      <w:pPr>
        <w:pStyle w:val="Normal"/>
        <w:autoSpaceDE w:val="false"/>
        <w:rPr>
          <w:rFonts w:ascii="Arial" w:hAnsi="Arial" w:cs="Arial"/>
          <w:sz w:val="20"/>
          <w:szCs w:val="20"/>
        </w:rPr>
      </w:pPr>
      <w:r>
        <w:rPr>
          <w:rFonts w:cs="Arial" w:ascii="Arial" w:hAnsi="Arial"/>
          <w:sz w:val="20"/>
          <w:szCs w:val="20"/>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The EWS Tax Update</w:t>
    </w:r>
  </w:p>
  <w:p>
    <w:pPr>
      <w:pStyle w:val="Header"/>
      <w:rPr>
        <w:rFonts w:ascii="Arial" w:hAnsi="Arial" w:cs="Arial"/>
        <w:sz w:val="20"/>
      </w:rPr>
    </w:pPr>
    <w:r>
      <w:rPr>
        <w:rFonts w:cs="Arial" w:ascii="Arial" w:hAnsi="Arial"/>
        <w:sz w:val="20"/>
      </w:rPr>
      <w:t>August 3, 2001</w:t>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4</w:t>
    </w:r>
    <w:r>
      <w:rPr>
        <w:rStyle w:val="PageNumber"/>
        <w:sz w:val="20"/>
        <w:rFonts w:cs="Arial" w:ascii="Arial" w:hAnsi="Arial"/>
      </w:rPr>
      <w:fldChar w:fldCharType="end"/>
    </w:r>
  </w:p>
  <w:p>
    <w:pPr>
      <w:pStyle w:val="Header"/>
      <w:rPr>
        <w:rStyle w:val="PageNumber"/>
        <w:rFonts w:ascii="Arial" w:hAnsi="Arial" w:cs="Arial"/>
        <w:sz w:val="20"/>
      </w:rPr>
    </w:pPr>
    <w:r>
      <w:rPr/>
    </w:r>
  </w:p>
  <w:p>
    <w:pPr>
      <w:pStyle w:val="Header"/>
      <w:rPr>
        <w:rStyle w:val="PageNumber"/>
        <w:rFonts w:ascii="Arial" w:hAnsi="Arial" w:cs="Arial"/>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8"/>
      <w:u w:val="single"/>
    </w:rPr>
  </w:style>
  <w:style w:type="paragraph" w:styleId="Heading2">
    <w:name w:val="heading 2"/>
    <w:basedOn w:val="Normal"/>
    <w:next w:val="Normal"/>
    <w:qFormat/>
    <w:pPr>
      <w:keepNext w:val="true"/>
      <w:numPr>
        <w:ilvl w:val="1"/>
        <w:numId w:val="1"/>
      </w:numPr>
      <w:outlineLvl w:val="1"/>
    </w:pPr>
    <w:rPr>
      <w:rFonts w:ascii="Arial" w:hAnsi="Arial" w:cs="Arial"/>
      <w:b/>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z w:val="22"/>
      <w:szCs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color w:val="auto"/>
      <w:sz w:val="28"/>
    </w:rPr>
  </w:style>
  <w:style w:type="character" w:styleId="WW8Num19z1">
    <w:name w:val="WW8Num19z1"/>
    <w:qFormat/>
    <w:rPr>
      <w:rFonts w:ascii="Courier New" w:hAnsi="Courier New" w:cs="Courier New"/>
    </w:rPr>
  </w:style>
  <w:style w:type="character" w:styleId="WW8Num19z2">
    <w:name w:val="WW8Num19z2"/>
    <w:qFormat/>
    <w:rPr>
      <w:rFonts w:ascii="Symbol" w:hAnsi="Symbol" w:cs="Symbol"/>
    </w:rPr>
  </w:style>
  <w:style w:type="character" w:styleId="WW8Num19z5">
    <w:name w:val="WW8Num19z5"/>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color w:val="auto"/>
      <w:sz w:val="28"/>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sz w:val="28"/>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color w:val="auto"/>
      <w:sz w:val="28"/>
    </w:rPr>
  </w:style>
  <w:style w:type="character" w:styleId="WW8Num37z1">
    <w:name w:val="WW8Num37z1"/>
    <w:qFormat/>
    <w:rPr>
      <w:rFonts w:ascii="Courier New" w:hAnsi="Courier New" w:cs="Courier New"/>
    </w:rPr>
  </w:style>
  <w:style w:type="character" w:styleId="WW8Num37z2">
    <w:name w:val="WW8Num37z2"/>
    <w:qFormat/>
    <w:rPr>
      <w:rFonts w:ascii="Symbol" w:hAnsi="Symbol" w:cs="Symbol"/>
    </w:rPr>
  </w:style>
  <w:style w:type="character" w:styleId="WW8Num37z5">
    <w:name w:val="WW8Num37z5"/>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color w:val="auto"/>
      <w:sz w:val="28"/>
    </w:rPr>
  </w:style>
  <w:style w:type="character" w:styleId="WW8Num42z1">
    <w:name w:val="WW8Num42z1"/>
    <w:qFormat/>
    <w:rPr>
      <w:rFonts w:ascii="Courier New" w:hAnsi="Courier New" w:cs="Courier New"/>
    </w:rPr>
  </w:style>
  <w:style w:type="character" w:styleId="WW8Num42z2">
    <w:name w:val="WW8Num42z2"/>
    <w:qFormat/>
    <w:rPr>
      <w:rFonts w:ascii="Symbol" w:hAnsi="Symbol" w:cs="Symbol"/>
    </w:rPr>
  </w:style>
  <w:style w:type="character" w:styleId="WW8Num42z5">
    <w:name w:val="WW8Num42z5"/>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sz w:val="28"/>
    </w:rPr>
  </w:style>
  <w:style w:type="character" w:styleId="WW8Num46z0">
    <w:name w:val="WW8Num46z0"/>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color w:val="auto"/>
      <w:sz w:val="28"/>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auto"/>
      <w:sz w:val="28"/>
    </w:rPr>
  </w:style>
  <w:style w:type="character" w:styleId="WW8Num51z0">
    <w:name w:val="WW8Num51z0"/>
    <w:qFormat/>
    <w:rPr>
      <w:rFonts w:ascii="Courier New" w:hAnsi="Courier New" w:cs="Courier New"/>
    </w:rPr>
  </w:style>
  <w:style w:type="character" w:styleId="WW8Num51z2">
    <w:name w:val="WW8Num51z2"/>
    <w:qFormat/>
    <w:rPr>
      <w:rFonts w:ascii="Symbol" w:hAnsi="Symbol" w:cs="Symbol"/>
    </w:rPr>
  </w:style>
  <w:style w:type="character" w:styleId="WW8Num51z5">
    <w:name w:val="WW8Num51z5"/>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sz w:val="28"/>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color w:val="auto"/>
      <w:sz w:val="28"/>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color w:val="auto"/>
      <w:sz w:val="28"/>
    </w:rPr>
  </w:style>
  <w:style w:type="character" w:styleId="WW8Num68z0">
    <w:name w:val="WW8Num68z0"/>
    <w:qFormat/>
    <w:rPr>
      <w:rFonts w:ascii="Symbol" w:hAnsi="Symbol" w:cs="Symbol"/>
    </w:rPr>
  </w:style>
  <w:style w:type="character" w:styleId="WW8Num69z0">
    <w:name w:val="WW8Num69z0"/>
    <w:qFormat/>
    <w:rPr>
      <w:rFonts w:ascii="Symbol" w:hAnsi="Symbol" w:cs="Symbol"/>
      <w:color w:val="auto"/>
      <w:sz w:val="28"/>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color w:val="auto"/>
      <w:sz w:val="28"/>
    </w:rPr>
  </w:style>
  <w:style w:type="character" w:styleId="WW8Num71z1">
    <w:name w:val="WW8Num71z1"/>
    <w:qFormat/>
    <w:rPr>
      <w:rFonts w:ascii="Courier New" w:hAnsi="Courier New" w:cs="Courier New"/>
    </w:rPr>
  </w:style>
  <w:style w:type="character" w:styleId="WW8Num71z2">
    <w:name w:val="WW8Num71z2"/>
    <w:qFormat/>
    <w:rPr>
      <w:rFonts w:ascii="Symbol" w:hAnsi="Symbol" w:cs="Symbol"/>
    </w:rPr>
  </w:style>
  <w:style w:type="character" w:styleId="WW8Num71z5">
    <w:name w:val="WW8Num71z5"/>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Wingdings" w:hAnsi="Wingdings" w:cs="Wingdings"/>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color w:val="auto"/>
      <w:sz w:val="28"/>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Arial" w:hAnsi="Arial" w:eastAsia="Times New Roman" w:cs="Arial"/>
      <w:b/>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color w:val="auto"/>
      <w:sz w:val="28"/>
    </w:rPr>
  </w:style>
  <w:style w:type="character" w:styleId="WW8Num91z1">
    <w:name w:val="WW8Num91z1"/>
    <w:qFormat/>
    <w:rPr>
      <w:rFonts w:ascii="Courier New" w:hAnsi="Courier New" w:cs="Courier New"/>
    </w:rPr>
  </w:style>
  <w:style w:type="character" w:styleId="WW8Num91z2">
    <w:name w:val="WW8Num91z2"/>
    <w:qFormat/>
    <w:rPr>
      <w:rFonts w:ascii="Symbol" w:hAnsi="Symbol" w:cs="Symbol"/>
    </w:rPr>
  </w:style>
  <w:style w:type="character" w:styleId="WW8Num91z5">
    <w:name w:val="WW8Num91z5"/>
    <w:qFormat/>
    <w:rPr>
      <w:rFonts w:ascii="Wingdings" w:hAnsi="Wingdings" w:cs="Wingdings"/>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color w:val="auto"/>
      <w:sz w:val="28"/>
    </w:rPr>
  </w:style>
  <w:style w:type="character" w:styleId="WW8Num95z0">
    <w:name w:val="WW8Num95z0"/>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color w:val="auto"/>
      <w:sz w:val="28"/>
    </w:rPr>
  </w:style>
  <w:style w:type="character" w:styleId="WW8Num97z1">
    <w:name w:val="WW8Num97z1"/>
    <w:qFormat/>
    <w:rPr>
      <w:rFonts w:ascii="Courier New" w:hAnsi="Courier New" w:cs="Courier New"/>
    </w:rPr>
  </w:style>
  <w:style w:type="character" w:styleId="WW8Num97z2">
    <w:name w:val="WW8Num97z2"/>
    <w:qFormat/>
    <w:rPr>
      <w:rFonts w:ascii="Symbol" w:hAnsi="Symbol" w:cs="Symbol"/>
    </w:rPr>
  </w:style>
  <w:style w:type="character" w:styleId="WW8Num97z5">
    <w:name w:val="WW8Num97z5"/>
    <w:qFormat/>
    <w:rPr>
      <w:rFonts w:ascii="Wingdings" w:hAnsi="Wingdings" w:cs="Wingdings"/>
    </w:rPr>
  </w:style>
  <w:style w:type="character" w:styleId="WW8Num98z0">
    <w:name w:val="WW8Num98z0"/>
    <w:qFormat/>
    <w:rPr>
      <w:rFonts w:ascii="Symbol" w:hAnsi="Symbol" w:cs="Symbol"/>
      <w:color w:val="auto"/>
      <w:sz w:val="28"/>
    </w:rPr>
  </w:style>
  <w:style w:type="character" w:styleId="WW8Num99z0">
    <w:name w:val="WW8Num99z0"/>
    <w:qFormat/>
    <w:rPr>
      <w:rFonts w:ascii="Symbol" w:hAnsi="Symbol" w:cs="Symbol"/>
      <w:color w:val="auto"/>
      <w:sz w:val="28"/>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color w:val="auto"/>
      <w:sz w:val="28"/>
    </w:rPr>
  </w:style>
  <w:style w:type="character" w:styleId="WW8Num104z1">
    <w:name w:val="WW8Num104z1"/>
    <w:qFormat/>
    <w:rPr>
      <w:rFonts w:ascii="Courier New" w:hAnsi="Courier New" w:cs="Courier New"/>
    </w:rPr>
  </w:style>
  <w:style w:type="character" w:styleId="WW8Num104z2">
    <w:name w:val="WW8Num104z2"/>
    <w:qFormat/>
    <w:rPr>
      <w:rFonts w:ascii="Symbol" w:hAnsi="Symbol" w:cs="Symbol"/>
    </w:rPr>
  </w:style>
  <w:style w:type="character" w:styleId="WW8Num104z5">
    <w:name w:val="WW8Num104z5"/>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Times New Roman"/>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color w:val="auto"/>
      <w:sz w:val="28"/>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auto"/>
      <w:sz w:val="28"/>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rFonts w:ascii="Symbol" w:hAnsi="Symbol" w:cs="Symbol"/>
      <w:color w:val="auto"/>
      <w:sz w:val="28"/>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color w:val="auto"/>
      <w:sz w:val="28"/>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Wingdings" w:hAnsi="Wingdings" w:cs="Wingdings"/>
    </w:rPr>
  </w:style>
  <w:style w:type="character" w:styleId="WW8Num130z0">
    <w:name w:val="WW8Num130z0"/>
    <w:qFormat/>
    <w:rPr>
      <w:rFonts w:ascii="Symbol" w:hAnsi="Symbol" w:cs="Symbol"/>
      <w:color w:val="auto"/>
      <w:sz w:val="28"/>
    </w:rPr>
  </w:style>
  <w:style w:type="character" w:styleId="WW8Num130z1">
    <w:name w:val="WW8Num130z1"/>
    <w:qFormat/>
    <w:rPr>
      <w:rFonts w:ascii="Courier New" w:hAnsi="Courier New" w:cs="Courier New"/>
    </w:rPr>
  </w:style>
  <w:style w:type="character" w:styleId="WW8Num130z2">
    <w:name w:val="WW8Num130z2"/>
    <w:qFormat/>
    <w:rPr>
      <w:rFonts w:ascii="Symbol" w:hAnsi="Symbol" w:cs="Symbol"/>
    </w:rPr>
  </w:style>
  <w:style w:type="character" w:styleId="WW8Num130z5">
    <w:name w:val="WW8Num130z5"/>
    <w:qFormat/>
    <w:rPr>
      <w:rFonts w:ascii="Wingdings" w:hAnsi="Wingdings" w:cs="Wingdings"/>
    </w:rPr>
  </w:style>
  <w:style w:type="character" w:styleId="WW8Num131z0">
    <w:name w:val="WW8Num131z0"/>
    <w:qFormat/>
    <w:rPr>
      <w:rFonts w:ascii="Symbol" w:hAnsi="Symbol" w:cs="Symbol"/>
      <w:color w:val="auto"/>
      <w:sz w:val="28"/>
    </w:rPr>
  </w:style>
  <w:style w:type="character" w:styleId="WW8Num132z0">
    <w:name w:val="WW8Num132z0"/>
    <w:qFormat/>
    <w:rPr>
      <w:rFonts w:ascii="Symbol" w:hAnsi="Symbol" w:cs="Symbol"/>
      <w:color w:val="auto"/>
      <w:sz w:val="28"/>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color w:val="auto"/>
      <w:sz w:val="28"/>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28"/>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Courier New" w:hAnsi="Courier New" w:cs="Courier New"/>
    </w:rPr>
  </w:style>
  <w:style w:type="character" w:styleId="WW8Num143z2">
    <w:name w:val="WW8Num143z2"/>
    <w:qFormat/>
    <w:rPr>
      <w:rFonts w:ascii="Symbol" w:hAnsi="Symbol" w:cs="Symbol"/>
    </w:rPr>
  </w:style>
  <w:style w:type="character" w:styleId="WW8Num143z5">
    <w:name w:val="WW8Num143z5"/>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Symbol" w:hAnsi="Symbol" w:cs="Symbol"/>
      <w:color w:val="auto"/>
      <w:sz w:val="28"/>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color w:val="auto"/>
      <w:sz w:val="28"/>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auto"/>
      <w:sz w:val="28"/>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color w:val="auto"/>
      <w:sz w:val="28"/>
    </w:rPr>
  </w:style>
  <w:style w:type="character" w:styleId="WW8Num158z1">
    <w:name w:val="WW8Num158z1"/>
    <w:qFormat/>
    <w:rPr>
      <w:rFonts w:ascii="Courier New" w:hAnsi="Courier New" w:cs="Courier New"/>
    </w:rPr>
  </w:style>
  <w:style w:type="character" w:styleId="WW8Num158z2">
    <w:name w:val="WW8Num158z2"/>
    <w:qFormat/>
    <w:rPr>
      <w:rFonts w:ascii="Symbol" w:hAnsi="Symbol" w:cs="Symbol"/>
    </w:rPr>
  </w:style>
  <w:style w:type="character" w:styleId="WW8Num158z5">
    <w:name w:val="WW8Num158z5"/>
    <w:qFormat/>
    <w:rPr>
      <w:rFonts w:ascii="Wingdings" w:hAnsi="Wingdings" w:cs="Wingdings"/>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sz w:val="28"/>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28"/>
    </w:rPr>
  </w:style>
  <w:style w:type="character" w:styleId="WW8Num166z0">
    <w:name w:val="WW8Num166z0"/>
    <w:qFormat/>
    <w:rPr>
      <w:rFonts w:ascii="Symbol" w:hAnsi="Symbol" w:cs="Symbol"/>
      <w:color w:val="auto"/>
      <w:sz w:val="28"/>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color w:val="auto"/>
      <w:sz w:val="28"/>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9z0">
    <w:name w:val="WW8Num179z0"/>
    <w:qFormat/>
    <w:rPr>
      <w:rFonts w:ascii="Symbol" w:hAnsi="Symbol" w:cs="Symbol"/>
      <w:color w:val="auto"/>
      <w:sz w:val="28"/>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color w:val="auto"/>
      <w:sz w:val="28"/>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9z0">
    <w:name w:val="WW8Num189z0"/>
    <w:qFormat/>
    <w:rPr>
      <w:rFonts w:ascii="Symbol" w:hAnsi="Symbol" w:cs="Symbol"/>
      <w:color w:val="auto"/>
      <w:sz w:val="28"/>
    </w:rPr>
  </w:style>
  <w:style w:type="character" w:styleId="WW8Num190z0">
    <w:name w:val="WW8Num190z0"/>
    <w:qFormat/>
    <w:rPr>
      <w:rFonts w:ascii="Symbol" w:hAnsi="Symbol" w:cs="Symbol"/>
      <w:color w:val="auto"/>
      <w:sz w:val="28"/>
    </w:rPr>
  </w:style>
  <w:style w:type="character" w:styleId="WW8Num191z0">
    <w:name w:val="WW8Num191z0"/>
    <w:qFormat/>
    <w:rPr>
      <w:rFonts w:ascii="Symbol" w:hAnsi="Symbol" w:cs="Symbol"/>
      <w:color w:val="auto"/>
      <w:sz w:val="28"/>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color w:val="auto"/>
      <w:sz w:val="28"/>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5">
    <w:name w:val="WW8Num198z5"/>
    <w:qFormat/>
    <w:rPr>
      <w:rFonts w:ascii="Wingdings" w:hAnsi="Wingdings" w:cs="Wingdings"/>
    </w:rPr>
  </w:style>
  <w:style w:type="character" w:styleId="WW8Num199z0">
    <w:name w:val="WW8Num199z0"/>
    <w:qFormat/>
    <w:rPr>
      <w:rFonts w:ascii="Symbol" w:hAnsi="Symbol" w:cs="Symbol"/>
    </w:rPr>
  </w:style>
  <w:style w:type="character" w:styleId="WW8Num200z0">
    <w:name w:val="WW8Num200z0"/>
    <w:qFormat/>
    <w:rPr>
      <w:rFonts w:ascii="Symbol" w:hAnsi="Symbol" w:cs="Symbol"/>
      <w:color w:val="auto"/>
      <w:sz w:val="28"/>
    </w:rPr>
  </w:style>
  <w:style w:type="character" w:styleId="WW8Num201z0">
    <w:name w:val="WW8Num201z0"/>
    <w:qFormat/>
    <w:rPr>
      <w:rFonts w:ascii="Symbol" w:hAnsi="Symbol" w:cs="Symbol"/>
      <w:color w:val="auto"/>
      <w:sz w:val="28"/>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color w:val="auto"/>
      <w:sz w:val="2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Wingdings" w:hAnsi="Wingdings" w:cs="Wingdings"/>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color w:val="auto"/>
      <w:sz w:val="28"/>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Symbol" w:hAnsi="Symbol" w:cs="Symbol"/>
    </w:rPr>
  </w:style>
  <w:style w:type="character" w:styleId="WW8Num219z0">
    <w:name w:val="WW8Num219z0"/>
    <w:qFormat/>
    <w:rPr>
      <w:rFonts w:ascii="Symbol" w:hAnsi="Symbol" w:cs="Symbol"/>
      <w:color w:val="auto"/>
      <w:sz w:val="28"/>
    </w:rPr>
  </w:style>
  <w:style w:type="character" w:styleId="WW8Num220z0">
    <w:name w:val="WW8Num220z0"/>
    <w:qFormat/>
    <w:rPr>
      <w:rFonts w:ascii="Symbol" w:hAnsi="Symbol" w:cs="Symbol"/>
      <w:color w:val="auto"/>
      <w:sz w:val="28"/>
    </w:rPr>
  </w:style>
  <w:style w:type="character" w:styleId="WW8Num220z1">
    <w:name w:val="WW8Num220z1"/>
    <w:qFormat/>
    <w:rPr>
      <w:rFonts w:ascii="Courier New" w:hAnsi="Courier New" w:cs="Courier New"/>
    </w:rPr>
  </w:style>
  <w:style w:type="character" w:styleId="WW8Num220z2">
    <w:name w:val="WW8Num220z2"/>
    <w:qFormat/>
    <w:rPr>
      <w:rFonts w:ascii="Symbol" w:hAnsi="Symbol" w:cs="Symbol"/>
    </w:rPr>
  </w:style>
  <w:style w:type="character" w:styleId="WW8Num220z5">
    <w:name w:val="WW8Num220z5"/>
    <w:qFormat/>
    <w:rPr>
      <w:rFonts w:ascii="Wingdings" w:hAnsi="Wingdings" w:cs="Wingdings"/>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color w:val="auto"/>
      <w:sz w:val="28"/>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rFonts w:ascii="Symbol" w:hAnsi="Symbol" w:cs="Symbol"/>
      <w:color w:val="auto"/>
      <w:sz w:val="28"/>
    </w:rPr>
  </w:style>
  <w:style w:type="character" w:styleId="WW8Num225z1">
    <w:name w:val="WW8Num225z1"/>
    <w:qFormat/>
    <w:rPr>
      <w:rFonts w:ascii="Courier New" w:hAnsi="Courier New" w:cs="Courier New"/>
    </w:rPr>
  </w:style>
  <w:style w:type="character" w:styleId="WW8Num225z2">
    <w:name w:val="WW8Num225z2"/>
    <w:qFormat/>
    <w:rPr>
      <w:rFonts w:ascii="Symbol" w:hAnsi="Symbol" w:cs="Symbol"/>
    </w:rPr>
  </w:style>
  <w:style w:type="character" w:styleId="WW8Num225z5">
    <w:name w:val="WW8Num225z5"/>
    <w:qFormat/>
    <w:rPr>
      <w:rFonts w:ascii="Wingdings" w:hAnsi="Wingdings" w:cs="Wingdings"/>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color w:val="auto"/>
      <w:sz w:val="28"/>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Symbol" w:hAnsi="Symbol" w:cs="Symbol"/>
    </w:rPr>
  </w:style>
  <w:style w:type="character" w:styleId="WW8Num233z0">
    <w:name w:val="WW8Num233z0"/>
    <w:qFormat/>
    <w:rPr>
      <w:rFonts w:ascii="Symbol" w:hAnsi="Symbol" w:cs="Symbol"/>
      <w:color w:val="auto"/>
      <w:sz w:val="28"/>
    </w:rPr>
  </w:style>
  <w:style w:type="character" w:styleId="WW8Num234z0">
    <w:name w:val="WW8Num234z0"/>
    <w:qFormat/>
    <w:rPr>
      <w:rFonts w:ascii="Symbol" w:hAnsi="Symbol" w:cs="Symbol"/>
    </w:rPr>
  </w:style>
  <w:style w:type="character" w:styleId="WW8Num235z0">
    <w:name w:val="WW8Num235z0"/>
    <w:qFormat/>
    <w:rPr>
      <w:rFonts w:ascii="Symbol" w:hAnsi="Symbol" w:cs="Symbol"/>
      <w:color w:val="auto"/>
      <w:sz w:val="28"/>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Symbol" w:hAnsi="Symbol" w:cs="Symbol"/>
    </w:rPr>
  </w:style>
  <w:style w:type="character" w:styleId="WW8Num240z0">
    <w:name w:val="WW8Num240z0"/>
    <w:qFormat/>
    <w:rPr>
      <w:rFonts w:ascii="Symbol" w:hAnsi="Symbol" w:cs="Symbol"/>
      <w:color w:val="auto"/>
      <w:sz w:val="28"/>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0z3">
    <w:name w:val="WW8Num240z3"/>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color w:val="auto"/>
      <w:sz w:val="28"/>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color w:val="auto"/>
      <w:sz w:val="28"/>
    </w:rPr>
  </w:style>
  <w:style w:type="character" w:styleId="WW8Num249z1">
    <w:name w:val="WW8Num249z1"/>
    <w:qFormat/>
    <w:rPr>
      <w:rFonts w:ascii="Courier New" w:hAnsi="Courier New" w:cs="Courier New"/>
    </w:rPr>
  </w:style>
  <w:style w:type="character" w:styleId="WW8Num249z2">
    <w:name w:val="WW8Num249z2"/>
    <w:qFormat/>
    <w:rPr>
      <w:rFonts w:ascii="Symbol" w:hAnsi="Symbol" w:cs="Symbol"/>
    </w:rPr>
  </w:style>
  <w:style w:type="character" w:styleId="WW8Num249z5">
    <w:name w:val="WW8Num249z5"/>
    <w:qFormat/>
    <w:rPr>
      <w:rFonts w:ascii="Wingdings" w:hAnsi="Wingdings" w:cs="Wingdings"/>
    </w:rPr>
  </w:style>
  <w:style w:type="character" w:styleId="WW8Num250z0">
    <w:name w:val="WW8Num250z0"/>
    <w:qFormat/>
    <w:rPr>
      <w:rFonts w:ascii="Courier New" w:hAnsi="Courier New" w:cs="Courier New"/>
    </w:rPr>
  </w:style>
  <w:style w:type="character" w:styleId="WW8Num250z2">
    <w:name w:val="WW8Num250z2"/>
    <w:qFormat/>
    <w:rPr>
      <w:rFonts w:ascii="Wingdings" w:hAnsi="Wingdings" w:cs="Wingdings"/>
    </w:rPr>
  </w:style>
  <w:style w:type="character" w:styleId="WW8Num250z3">
    <w:name w:val="WW8Num250z3"/>
    <w:qFormat/>
    <w:rPr>
      <w:rFonts w:ascii="Symbol" w:hAnsi="Symbol" w:cs="Symbol"/>
    </w:rPr>
  </w:style>
  <w:style w:type="character" w:styleId="WW8Num251z0">
    <w:name w:val="WW8Num251z0"/>
    <w:qFormat/>
    <w:rPr>
      <w:rFonts w:ascii="Symbol" w:hAnsi="Symbol" w:cs="Symbol"/>
      <w:color w:val="auto"/>
      <w:sz w:val="28"/>
    </w:rPr>
  </w:style>
  <w:style w:type="character" w:styleId="WW8Num252z0">
    <w:name w:val="WW8Num252z0"/>
    <w:qFormat/>
    <w:rPr>
      <w:rFonts w:ascii="Symbol" w:hAnsi="Symbol" w:cs="Symbol"/>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color w:val="auto"/>
      <w:sz w:val="28"/>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color w:val="auto"/>
      <w:sz w:val="28"/>
    </w:rPr>
  </w:style>
  <w:style w:type="character" w:styleId="WW8Num258z0">
    <w:name w:val="WW8Num258z0"/>
    <w:qFormat/>
    <w:rPr>
      <w:rFonts w:ascii="Symbol" w:hAnsi="Symbol" w:cs="Symbol"/>
    </w:rPr>
  </w:style>
  <w:style w:type="character" w:styleId="WW8Num259z0">
    <w:name w:val="WW8Num259z0"/>
    <w:qFormat/>
    <w:rPr>
      <w:rFonts w:ascii="Symbol" w:hAnsi="Symbol" w:cs="Symbol"/>
      <w:color w:val="auto"/>
      <w:sz w:val="28"/>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color w:val="auto"/>
      <w:sz w:val="28"/>
    </w:rPr>
  </w:style>
  <w:style w:type="character" w:styleId="WW8Num265z0">
    <w:name w:val="WW8Num265z0"/>
    <w:qFormat/>
    <w:rPr>
      <w:rFonts w:ascii="Symbol" w:hAnsi="Symbol" w:cs="Symbol"/>
      <w:color w:val="auto"/>
      <w:sz w:val="28"/>
    </w:rPr>
  </w:style>
  <w:style w:type="character" w:styleId="WW8Num266z0">
    <w:name w:val="WW8Num266z0"/>
    <w:qFormat/>
    <w:rPr>
      <w:rFonts w:ascii="Symbol" w:hAnsi="Symbol" w:cs="Symbol"/>
      <w:color w:val="auto"/>
      <w:sz w:val="28"/>
    </w:rPr>
  </w:style>
  <w:style w:type="character" w:styleId="WW8Num267z0">
    <w:name w:val="WW8Num267z0"/>
    <w:qFormat/>
    <w:rPr>
      <w:rFonts w:ascii="Symbol" w:hAnsi="Symbol" w:cs="Symbol"/>
      <w:color w:val="auto"/>
      <w:sz w:val="28"/>
    </w:rPr>
  </w:style>
  <w:style w:type="character" w:styleId="WW8Num267z1">
    <w:name w:val="WW8Num267z1"/>
    <w:qFormat/>
    <w:rPr>
      <w:rFonts w:ascii="Courier New" w:hAnsi="Courier New" w:cs="Courier New"/>
    </w:rPr>
  </w:style>
  <w:style w:type="character" w:styleId="WW8Num267z2">
    <w:name w:val="WW8Num267z2"/>
    <w:qFormat/>
    <w:rPr>
      <w:rFonts w:ascii="Symbol" w:hAnsi="Symbol" w:cs="Symbol"/>
    </w:rPr>
  </w:style>
  <w:style w:type="character" w:styleId="WW8Num267z5">
    <w:name w:val="WW8Num267z5"/>
    <w:qFormat/>
    <w:rPr>
      <w:rFonts w:ascii="Wingdings" w:hAnsi="Wingdings" w:cs="Wingdings"/>
    </w:rPr>
  </w:style>
  <w:style w:type="character" w:styleId="WW8Num268z0">
    <w:name w:val="WW8Num268z0"/>
    <w:qFormat/>
    <w:rPr>
      <w:rFonts w:ascii="Symbol" w:hAnsi="Symbol" w:cs="Symbol"/>
      <w:color w:val="auto"/>
      <w:sz w:val="28"/>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2z0">
    <w:name w:val="WW8Num272z0"/>
    <w:qFormat/>
    <w:rPr>
      <w:rFonts w:ascii="Symbol" w:hAnsi="Symbol" w:cs="Symbol"/>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5z1">
    <w:name w:val="WW8Num275z1"/>
    <w:qFormat/>
    <w:rPr>
      <w:rFonts w:ascii="Wingdings" w:hAnsi="Wingdings" w:cs="Wingdings"/>
    </w:rPr>
  </w:style>
  <w:style w:type="character" w:styleId="WW8Num275z4">
    <w:name w:val="WW8Num275z4"/>
    <w:qFormat/>
    <w:rPr>
      <w:rFonts w:ascii="Courier New" w:hAnsi="Courier New" w:cs="Courier New"/>
    </w:rPr>
  </w:style>
  <w:style w:type="character" w:styleId="WW8Num276z0">
    <w:name w:val="WW8Num276z0"/>
    <w:qFormat/>
    <w:rPr>
      <w:rFonts w:ascii="Symbol" w:hAnsi="Symbol" w:cs="Symbol"/>
    </w:rPr>
  </w:style>
  <w:style w:type="character" w:styleId="WW8Num277z0">
    <w:name w:val="WW8Num277z0"/>
    <w:qFormat/>
    <w:rPr>
      <w:rFonts w:ascii="Symbol" w:hAnsi="Symbol" w:cs="Symbol"/>
      <w:color w:val="auto"/>
      <w:sz w:val="28"/>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color w:val="auto"/>
      <w:sz w:val="28"/>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color w:val="auto"/>
      <w:sz w:val="28"/>
    </w:rPr>
  </w:style>
  <w:style w:type="character" w:styleId="WW8Num285z0">
    <w:name w:val="WW8Num285z0"/>
    <w:qFormat/>
    <w:rPr>
      <w:rFonts w:ascii="Symbol" w:hAnsi="Symbol" w:cs="Symbol"/>
    </w:rPr>
  </w:style>
  <w:style w:type="character" w:styleId="WW8Num286z0">
    <w:name w:val="WW8Num286z0"/>
    <w:qFormat/>
    <w:rPr>
      <w:rFonts w:ascii="Symbol" w:hAnsi="Symbol" w:cs="Symbol"/>
      <w:color w:val="auto"/>
      <w:sz w:val="28"/>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color w:val="auto"/>
      <w:sz w:val="28"/>
    </w:rPr>
  </w:style>
  <w:style w:type="character" w:styleId="WW8Num290z0">
    <w:name w:val="WW8Num290z0"/>
    <w:qFormat/>
    <w:rPr>
      <w:rFonts w:ascii="Symbol" w:hAnsi="Symbol" w:cs="Symbol"/>
      <w:color w:val="auto"/>
      <w:sz w:val="28"/>
    </w:rPr>
  </w:style>
  <w:style w:type="character" w:styleId="WW8Num290z1">
    <w:name w:val="WW8Num290z1"/>
    <w:qFormat/>
    <w:rPr>
      <w:rFonts w:ascii="Courier New" w:hAnsi="Courier New" w:cs="Courier New"/>
    </w:rPr>
  </w:style>
  <w:style w:type="character" w:styleId="WW8Num290z2">
    <w:name w:val="WW8Num290z2"/>
    <w:qFormat/>
    <w:rPr>
      <w:rFonts w:ascii="Symbol" w:hAnsi="Symbol" w:cs="Symbol"/>
    </w:rPr>
  </w:style>
  <w:style w:type="character" w:styleId="WW8Num290z5">
    <w:name w:val="WW8Num290z5"/>
    <w:qFormat/>
    <w:rPr>
      <w:rFonts w:ascii="Wingdings" w:hAnsi="Wingdings" w:cs="Wingdings"/>
    </w:rPr>
  </w:style>
  <w:style w:type="character" w:styleId="WW8Num291z0">
    <w:name w:val="WW8Num291z0"/>
    <w:qFormat/>
    <w:rPr>
      <w:rFonts w:ascii="Symbol" w:hAnsi="Symbol" w:cs="Symbol"/>
      <w:color w:val="auto"/>
      <w:sz w:val="28"/>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1z3">
    <w:name w:val="WW8Num291z3"/>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rPr>
  </w:style>
  <w:style w:type="character" w:styleId="WW8Num295z0">
    <w:name w:val="WW8Num295z0"/>
    <w:qFormat/>
    <w:rPr>
      <w:rFonts w:ascii="Symbol" w:hAnsi="Symbol" w:cs="Symbol"/>
      <w:color w:val="auto"/>
      <w:sz w:val="28"/>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1z1">
    <w:name w:val="WW8Num301z1"/>
    <w:qFormat/>
    <w:rPr>
      <w:rFonts w:ascii="Courier New" w:hAnsi="Courier New" w:cs="Times New Roman"/>
    </w:rPr>
  </w:style>
  <w:style w:type="character" w:styleId="WW8Num302z0">
    <w:name w:val="WW8Num302z0"/>
    <w:qFormat/>
    <w:rPr>
      <w:rFonts w:ascii="Symbol" w:hAnsi="Symbol" w:cs="Symbol"/>
      <w:color w:val="auto"/>
      <w:sz w:val="28"/>
    </w:rPr>
  </w:style>
  <w:style w:type="character" w:styleId="WW8Num303z0">
    <w:name w:val="WW8Num303z0"/>
    <w:qFormat/>
    <w:rPr>
      <w:rFonts w:ascii="Symbol" w:hAnsi="Symbol" w:cs="Symbol"/>
    </w:rPr>
  </w:style>
  <w:style w:type="character" w:styleId="WW8Num304z0">
    <w:name w:val="WW8Num304z0"/>
    <w:qFormat/>
    <w:rPr>
      <w:rFonts w:ascii="Symbol" w:hAnsi="Symbol" w:cs="Symbol"/>
      <w:color w:val="auto"/>
      <w:sz w:val="28"/>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Courier New" w:hAnsi="Courier New" w:cs="Courier New"/>
    </w:rPr>
  </w:style>
  <w:style w:type="character" w:styleId="WW8Num307z2">
    <w:name w:val="WW8Num307z2"/>
    <w:qFormat/>
    <w:rPr>
      <w:rFonts w:ascii="Wingdings" w:hAnsi="Wingdings" w:cs="Wingdings"/>
    </w:rPr>
  </w:style>
  <w:style w:type="character" w:styleId="WW8Num307z3">
    <w:name w:val="WW8Num307z3"/>
    <w:qFormat/>
    <w:rPr>
      <w:rFonts w:ascii="Symbol" w:hAnsi="Symbol" w:cs="Symbol"/>
    </w:rPr>
  </w:style>
  <w:style w:type="character" w:styleId="WW8Num308z0">
    <w:name w:val="WW8Num308z0"/>
    <w:qFormat/>
    <w:rPr>
      <w:rFonts w:ascii="Symbol" w:hAnsi="Symbol" w:cs="Symbol"/>
      <w:color w:val="auto"/>
      <w:sz w:val="28"/>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Wingdings" w:hAnsi="Wingdings" w:cs="Wingdings"/>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color w:val="auto"/>
      <w:sz w:val="28"/>
    </w:rPr>
  </w:style>
  <w:style w:type="character" w:styleId="WW8Num314z1">
    <w:name w:val="WW8Num314z1"/>
    <w:qFormat/>
    <w:rPr>
      <w:rFonts w:ascii="Courier New" w:hAnsi="Courier New" w:cs="Courier New"/>
    </w:rPr>
  </w:style>
  <w:style w:type="character" w:styleId="WW8Num314z2">
    <w:name w:val="WW8Num314z2"/>
    <w:qFormat/>
    <w:rPr>
      <w:rFonts w:ascii="Symbol" w:hAnsi="Symbol" w:cs="Symbol"/>
    </w:rPr>
  </w:style>
  <w:style w:type="character" w:styleId="WW8Num314z5">
    <w:name w:val="WW8Num314z5"/>
    <w:qFormat/>
    <w:rPr>
      <w:rFonts w:ascii="Wingdings" w:hAnsi="Wingdings" w:cs="Wingdings"/>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19z1">
    <w:name w:val="WW8Num319z1"/>
    <w:qFormat/>
    <w:rPr>
      <w:rFonts w:ascii="Arial" w:hAnsi="Arial" w:eastAsia="Times New Roman" w:cs="Arial"/>
      <w:b/>
    </w:rPr>
  </w:style>
  <w:style w:type="character" w:styleId="WW8Num319z2">
    <w:name w:val="WW8Num319z2"/>
    <w:qFormat/>
    <w:rPr>
      <w:rFonts w:ascii="Wingdings" w:hAnsi="Wingdings" w:cs="Wingdings"/>
    </w:rPr>
  </w:style>
  <w:style w:type="character" w:styleId="WW8Num319z4">
    <w:name w:val="WW8Num319z4"/>
    <w:qFormat/>
    <w:rPr>
      <w:rFonts w:ascii="Courier New" w:hAnsi="Courier New" w:cs="Courier New"/>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color w:val="auto"/>
      <w:sz w:val="28"/>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color w:val="auto"/>
      <w:sz w:val="28"/>
    </w:rPr>
  </w:style>
  <w:style w:type="character" w:styleId="WW8Num334z0">
    <w:name w:val="WW8Num334z0"/>
    <w:qFormat/>
    <w:rPr>
      <w:rFonts w:ascii="Symbol" w:hAnsi="Symbol" w:cs="Symbol"/>
      <w:color w:val="auto"/>
      <w:sz w:val="28"/>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auto"/>
      <w:sz w:val="28"/>
    </w:rPr>
  </w:style>
  <w:style w:type="character" w:styleId="WW8Num336z0">
    <w:name w:val="WW8Num336z0"/>
    <w:qFormat/>
    <w:rPr>
      <w:rFonts w:ascii="Symbol" w:hAnsi="Symbol" w:cs="Symbol"/>
    </w:rPr>
  </w:style>
  <w:style w:type="character" w:styleId="WW8Num337z0">
    <w:name w:val="WW8Num337z0"/>
    <w:qFormat/>
    <w:rPr>
      <w:rFonts w:ascii="Symbol" w:hAnsi="Symbol" w:cs="Symbol"/>
      <w:color w:val="auto"/>
      <w:sz w:val="28"/>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color w:val="auto"/>
      <w:sz w:val="28"/>
    </w:rPr>
  </w:style>
  <w:style w:type="character" w:styleId="WW8Num340z0">
    <w:name w:val="WW8Num340z0"/>
    <w:qFormat/>
    <w:rPr/>
  </w:style>
  <w:style w:type="character" w:styleId="WW8Num341z0">
    <w:name w:val="WW8Num341z0"/>
    <w:qFormat/>
    <w:rPr>
      <w:rFonts w:ascii="Symbol" w:hAnsi="Symbol" w:cs="Symbol"/>
    </w:rPr>
  </w:style>
  <w:style w:type="character" w:styleId="WW8Num342z0">
    <w:name w:val="WW8Num342z0"/>
    <w:qFormat/>
    <w:rPr>
      <w:rFonts w:ascii="Symbol" w:hAnsi="Symbol" w:cs="Symbol"/>
      <w:color w:val="auto"/>
      <w:sz w:val="28"/>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color w:val="auto"/>
      <w:sz w:val="28"/>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Wingdings" w:hAnsi="Wingdings" w:cs="Wingdings"/>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color w:val="auto"/>
      <w:sz w:val="28"/>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Wingdings" w:hAnsi="Wingdings" w:cs="Wingdings"/>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6z1">
    <w:name w:val="WW8Num366z1"/>
    <w:qFormat/>
    <w:rPr>
      <w:rFonts w:ascii="Wingdings" w:hAnsi="Wingdings" w:cs="Wingdings"/>
    </w:rPr>
  </w:style>
  <w:style w:type="character" w:styleId="WW8Num366z4">
    <w:name w:val="WW8Num366z4"/>
    <w:qFormat/>
    <w:rPr>
      <w:rFonts w:ascii="Courier New" w:hAnsi="Courier New" w:cs="Courier New"/>
    </w:rPr>
  </w:style>
  <w:style w:type="character" w:styleId="WW8Num367z0">
    <w:name w:val="WW8Num367z0"/>
    <w:qFormat/>
    <w:rPr>
      <w:rFonts w:ascii="Symbol" w:hAnsi="Symbol" w:cs="Symbol"/>
      <w:color w:val="auto"/>
      <w:sz w:val="28"/>
    </w:rPr>
  </w:style>
  <w:style w:type="character" w:styleId="WW8Num368z0">
    <w:name w:val="WW8Num368z0"/>
    <w:qFormat/>
    <w:rPr>
      <w:rFonts w:ascii="Symbol" w:hAnsi="Symbol" w:cs="Symbol"/>
      <w:color w:val="auto"/>
      <w:sz w:val="28"/>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color w:val="auto"/>
      <w:sz w:val="28"/>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Wingdings" w:hAnsi="Wingdings" w:cs="Wingdings"/>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5z0">
    <w:name w:val="WW8Num385z0"/>
    <w:qFormat/>
    <w:rPr>
      <w:rFonts w:ascii="Symbol" w:hAnsi="Symbol" w:cs="Symbol"/>
      <w:color w:val="auto"/>
      <w:sz w:val="28"/>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color w:val="auto"/>
      <w:sz w:val="28"/>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89z3">
    <w:name w:val="WW8Num389z3"/>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Courier New" w:hAnsi="Courier New" w:cs="Courier New"/>
    </w:rPr>
  </w:style>
  <w:style w:type="character" w:styleId="WW8Num393z2">
    <w:name w:val="WW8Num393z2"/>
    <w:qFormat/>
    <w:rPr>
      <w:rFonts w:ascii="Wingdings" w:hAnsi="Wingdings" w:cs="Wingdings"/>
    </w:rPr>
  </w:style>
  <w:style w:type="character" w:styleId="WW8Num393z3">
    <w:name w:val="WW8Num393z3"/>
    <w:qFormat/>
    <w:rPr>
      <w:rFonts w:ascii="Symbol" w:hAnsi="Symbol" w:cs="Symbol"/>
    </w:rPr>
  </w:style>
  <w:style w:type="character" w:styleId="WW8Num394z0">
    <w:name w:val="WW8Num394z0"/>
    <w:qFormat/>
    <w:rPr>
      <w:rFonts w:ascii="Symbol" w:hAnsi="Symbol" w:cs="Symbol"/>
      <w:color w:val="auto"/>
      <w:sz w:val="28"/>
    </w:rPr>
  </w:style>
  <w:style w:type="character" w:styleId="WW8Num394z1">
    <w:name w:val="WW8Num394z1"/>
    <w:qFormat/>
    <w:rPr>
      <w:rFonts w:ascii="Courier New" w:hAnsi="Courier New" w:cs="Courier New"/>
    </w:rPr>
  </w:style>
  <w:style w:type="character" w:styleId="WW8Num394z2">
    <w:name w:val="WW8Num394z2"/>
    <w:qFormat/>
    <w:rPr>
      <w:rFonts w:ascii="Symbol" w:hAnsi="Symbol" w:cs="Symbol"/>
    </w:rPr>
  </w:style>
  <w:style w:type="character" w:styleId="WW8Num394z5">
    <w:name w:val="WW8Num394z5"/>
    <w:qFormat/>
    <w:rPr>
      <w:rFonts w:ascii="Wingdings" w:hAnsi="Wingdings" w:cs="Wingdings"/>
    </w:rPr>
  </w:style>
  <w:style w:type="character" w:styleId="WW8Num395z0">
    <w:name w:val="WW8Num395z0"/>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400z0">
    <w:name w:val="WW8Num400z0"/>
    <w:qFormat/>
    <w:rPr>
      <w:rFonts w:ascii="Symbol" w:hAnsi="Symbol" w:cs="Symbol"/>
    </w:rPr>
  </w:style>
  <w:style w:type="character" w:styleId="WW8Num401z0">
    <w:name w:val="WW8Num401z0"/>
    <w:qFormat/>
    <w:rPr>
      <w:rFonts w:ascii="Symbol" w:hAnsi="Symbol" w:cs="Symbol"/>
      <w:color w:val="auto"/>
      <w:sz w:val="28"/>
    </w:rPr>
  </w:style>
  <w:style w:type="character" w:styleId="WW8Num401z1">
    <w:name w:val="WW8Num401z1"/>
    <w:qFormat/>
    <w:rPr>
      <w:rFonts w:ascii="Courier New" w:hAnsi="Courier New" w:cs="Courier New"/>
    </w:rPr>
  </w:style>
  <w:style w:type="character" w:styleId="WW8Num401z2">
    <w:name w:val="WW8Num401z2"/>
    <w:qFormat/>
    <w:rPr>
      <w:rFonts w:ascii="Symbol" w:hAnsi="Symbol" w:cs="Symbol"/>
    </w:rPr>
  </w:style>
  <w:style w:type="character" w:styleId="WW8Num401z5">
    <w:name w:val="WW8Num401z5"/>
    <w:qFormat/>
    <w:rPr>
      <w:rFonts w:ascii="Wingdings" w:hAnsi="Wingdings" w:cs="Wingdings"/>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Wingdings" w:hAnsi="Wingdings" w:cs="Wingdings"/>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color w:val="auto"/>
      <w:sz w:val="28"/>
    </w:rPr>
  </w:style>
  <w:style w:type="character" w:styleId="WW8Num417z0">
    <w:name w:val="WW8Num417z0"/>
    <w:qFormat/>
    <w:rPr>
      <w:rFonts w:ascii="Symbol" w:hAnsi="Symbol" w:cs="Symbol"/>
    </w:rPr>
  </w:style>
  <w:style w:type="character" w:styleId="WW8Num418z0">
    <w:name w:val="WW8Num418z0"/>
    <w:qFormat/>
    <w:rPr>
      <w:rFonts w:ascii="Symbol" w:hAnsi="Symbol" w:cs="Symbol"/>
      <w:color w:val="auto"/>
      <w:sz w:val="28"/>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color w:val="auto"/>
      <w:sz w:val="28"/>
    </w:rPr>
  </w:style>
  <w:style w:type="character" w:styleId="WW8Num423z1">
    <w:name w:val="WW8Num423z1"/>
    <w:qFormat/>
    <w:rPr>
      <w:rFonts w:ascii="Courier New" w:hAnsi="Courier New" w:cs="Courier New"/>
    </w:rPr>
  </w:style>
  <w:style w:type="character" w:styleId="WW8Num423z2">
    <w:name w:val="WW8Num423z2"/>
    <w:qFormat/>
    <w:rPr>
      <w:rFonts w:ascii="Symbol" w:hAnsi="Symbol" w:cs="Symbol"/>
    </w:rPr>
  </w:style>
  <w:style w:type="character" w:styleId="WW8Num423z5">
    <w:name w:val="WW8Num423z5"/>
    <w:qFormat/>
    <w:rPr>
      <w:rFonts w:ascii="Wingdings" w:hAnsi="Wingdings" w:cs="Wingdings"/>
    </w:rPr>
  </w:style>
  <w:style w:type="character" w:styleId="WW8Num424z0">
    <w:name w:val="WW8Num424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color w:val="auto"/>
      <w:sz w:val="28"/>
    </w:rPr>
  </w:style>
  <w:style w:type="character" w:styleId="WW8Num429z0">
    <w:name w:val="WW8Num429z0"/>
    <w:qFormat/>
    <w:rPr>
      <w:rFonts w:ascii="Symbol" w:hAnsi="Symbol" w:cs="Symbol"/>
      <w:color w:val="auto"/>
      <w:sz w:val="28"/>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color w:val="auto"/>
      <w:sz w:val="28"/>
    </w:rPr>
  </w:style>
  <w:style w:type="character" w:styleId="WW8Num433z0">
    <w:name w:val="WW8Num433z0"/>
    <w:qFormat/>
    <w:rPr>
      <w:rFonts w:ascii="Symbol" w:hAnsi="Symbol" w:cs="Symbol"/>
      <w:color w:val="auto"/>
      <w:sz w:val="28"/>
    </w:rPr>
  </w:style>
  <w:style w:type="character" w:styleId="WW8Num434z0">
    <w:name w:val="WW8Num434z0"/>
    <w:qFormat/>
    <w:rPr>
      <w:rFonts w:ascii="Symbol" w:hAnsi="Symbol" w:cs="Symbol"/>
    </w:rPr>
  </w:style>
  <w:style w:type="character" w:styleId="WW8Num435z0">
    <w:name w:val="WW8Num435z0"/>
    <w:qFormat/>
    <w:rPr>
      <w:rFonts w:ascii="Courier New" w:hAnsi="Courier New" w:cs="Courier New"/>
    </w:rPr>
  </w:style>
  <w:style w:type="character" w:styleId="WW8Num435z2">
    <w:name w:val="WW8Num435z2"/>
    <w:qFormat/>
    <w:rPr>
      <w:rFonts w:ascii="Wingdings" w:hAnsi="Wingdings" w:cs="Wingdings"/>
    </w:rPr>
  </w:style>
  <w:style w:type="character" w:styleId="WW8Num435z3">
    <w:name w:val="WW8Num435z3"/>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St7z0">
    <w:name w:val="WW8NumSt7z0"/>
    <w:qFormat/>
    <w:rPr>
      <w:rFonts w:ascii="Symbol" w:hAnsi="Symbol" w:cs="Symbol"/>
    </w:rPr>
  </w:style>
  <w:style w:type="character" w:styleId="WW8NumSt345z0">
    <w:name w:val="WW8NumSt345z0"/>
    <w:qFormat/>
    <w:rPr>
      <w:rFonts w:ascii="Symbol" w:hAnsi="Symbol" w:cs="Symbol"/>
    </w:rPr>
  </w:style>
  <w:style w:type="character" w:styleId="WW8NumSt417z0">
    <w:name w:val="WW8NumSt4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Text1">
    <w:name w:val="Bullet Text 1"/>
    <w:basedOn w:val="Normal"/>
    <w:qFormat/>
    <w:pPr>
      <w:numPr>
        <w:ilvl w:val="0"/>
        <w:numId w:val="3"/>
      </w:numPr>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2001-08-03T22:19:00Z</dcterms:created>
  <dc:creator>smusch</dc:creator>
  <dc:description/>
  <dc:language>en-CA</dc:language>
  <cp:lastModifiedBy>sdougla</cp:lastModifiedBy>
  <cp:lastPrinted>2001-07-31T16:27:00Z</cp:lastPrinted>
  <dcterms:modified xsi:type="dcterms:W3CDTF">2001-08-03T22:19:00Z</dcterms:modified>
  <cp:revision>2</cp:revision>
  <dc:subject/>
  <dc:title> </dc:title>
</cp:coreProperties>
</file>