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Times New Roman" w:hAnsi="Times New Roman" w:cs="Times New Roman"/>
          <w:sz w:val="24"/>
        </w:rPr>
      </w:pPr>
      <w:r>
        <w:rPr>
          <w:rFonts w:cs="Times New Roman" w:ascii="Times New Roman" w:hAnsi="Times New Roman"/>
          <w:sz w:val="24"/>
        </w:rPr>
        <w:t>BEFORE THE PUBLIC UTILITIES COMMISSION OF THE STATE OF CALIFORNIA</w:t>
      </w:r>
    </w:p>
    <w:p>
      <w:pPr>
        <w:pStyle w:val="Header"/>
        <w:widowControl/>
        <w:tabs>
          <w:tab w:val="clear" w:pos="4320"/>
          <w:tab w:val="clear" w:pos="8640"/>
        </w:tabs>
        <w:suppressAutoHyphens w:val="true"/>
        <w:rPr>
          <w:rFonts w:ascii="Times New Roman" w:hAnsi="Times New Roman" w:cs="Times New Roman"/>
          <w:sz w:val="24"/>
        </w:rPr>
      </w:pPr>
      <w:r>
        <w:rPr>
          <w:rFonts w:cs="Times New Roman" w:ascii="Times New Roman" w:hAnsi="Times New Roman"/>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pacing w:lineRule="auto" w:line="240"/>
              <w:rPr/>
            </w:pPr>
            <w:r>
              <w:rPr/>
              <w:t>Application of San Diego Gas &amp; Electric Company (U 902-E) for an Order Implementing Assembly Bill 265.</w:t>
            </w:r>
          </w:p>
          <w:p>
            <w:pPr>
              <w:pStyle w:val="Normal"/>
              <w:spacing w:lineRule="auto" w:line="240"/>
              <w:rPr/>
            </w:pPr>
            <w:r>
              <w:rPr/>
            </w:r>
          </w:p>
        </w:tc>
        <w:tc>
          <w:tcPr>
            <w:tcW w:w="3287" w:type="dxa"/>
            <w:tcBorders/>
          </w:tcPr>
          <w:p>
            <w:pPr>
              <w:pStyle w:val="Normal"/>
              <w:snapToGrid w:val="false"/>
              <w:spacing w:lineRule="auto" w:line="240"/>
              <w:jc w:val="center"/>
              <w:rPr/>
            </w:pPr>
            <w:r>
              <w:rPr/>
            </w:r>
          </w:p>
          <w:p>
            <w:pPr>
              <w:pStyle w:val="Normal"/>
              <w:spacing w:lineRule="auto" w:line="240"/>
              <w:jc w:val="center"/>
              <w:rPr/>
            </w:pPr>
            <w:r>
              <w:rPr/>
              <w:t>Application 00-10-045</w:t>
            </w:r>
          </w:p>
          <w:p>
            <w:pPr>
              <w:pStyle w:val="Normal"/>
              <w:spacing w:lineRule="auto" w:line="240"/>
              <w:jc w:val="center"/>
              <w:rPr/>
            </w:pPr>
            <w:r>
              <w:rPr/>
              <w:t>(Filed October 24,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Application of San Diego Gas &amp; Electric Company (U 902-E) for Authority to Implement an Electric Rate Surcharge to Manage the Balance in the Energy Rate Ceiling Revenue Shortfall Account.</w:t>
            </w:r>
          </w:p>
          <w:p>
            <w:pPr>
              <w:pStyle w:val="Normal"/>
              <w:spacing w:lineRule="auto" w:line="240"/>
              <w:rPr/>
            </w:pPr>
            <w:r>
              <w:rPr/>
            </w:r>
          </w:p>
        </w:tc>
        <w:tc>
          <w:tcPr>
            <w:tcW w:w="3287" w:type="dxa"/>
            <w:tcBorders/>
          </w:tcPr>
          <w:p>
            <w:pPr>
              <w:pStyle w:val="Normal"/>
              <w:snapToGrid w:val="false"/>
              <w:spacing w:lineRule="auto" w:line="240"/>
              <w:jc w:val="center"/>
              <w:rPr/>
            </w:pPr>
            <w:r>
              <w:rPr/>
            </w:r>
          </w:p>
          <w:p>
            <w:pPr>
              <w:pStyle w:val="Normal"/>
              <w:spacing w:lineRule="auto" w:line="240"/>
              <w:jc w:val="center"/>
              <w:rPr/>
            </w:pPr>
            <w:r>
              <w:rPr/>
            </w:r>
          </w:p>
          <w:p>
            <w:pPr>
              <w:pStyle w:val="Normal"/>
              <w:spacing w:lineRule="auto" w:line="240"/>
              <w:jc w:val="center"/>
              <w:rPr/>
            </w:pPr>
            <w:r>
              <w:rPr/>
              <w:t>Application 01-01-044</w:t>
            </w:r>
          </w:p>
          <w:p>
            <w:pPr>
              <w:pStyle w:val="Normal"/>
              <w:spacing w:lineRule="auto" w:line="240"/>
              <w:jc w:val="center"/>
              <w:rPr/>
            </w:pPr>
            <w:r>
              <w:rPr/>
              <w:t>(Filed January 24, 2001)</w:t>
            </w:r>
          </w:p>
        </w:tc>
      </w:tr>
    </w:tbl>
    <w:p>
      <w:pPr>
        <w:pStyle w:val="Normal"/>
        <w:suppressAutoHyphens w:val="true"/>
        <w:spacing w:lineRule="auto" w:line="240"/>
        <w:rPr/>
      </w:pPr>
      <w:r>
        <w:rPr/>
      </w:r>
    </w:p>
    <w:p>
      <w:pPr>
        <w:pStyle w:val="BodyText"/>
        <w:rPr/>
      </w:pPr>
      <w:r>
        <w:rPr/>
        <w:t>REPLY OF SAN DIEGO GAS &amp; ELECTRIC COMPANY (U 902-E) TO ALJ WETZELL’S RULING OF AUGUST 15, 2001</w:t>
      </w:r>
    </w:p>
    <w:p>
      <w:pPr>
        <w:pStyle w:val="Normal"/>
        <w:suppressAutoHyphens w:val="true"/>
        <w:spacing w:lineRule="auto" w:line="240"/>
        <w:rPr/>
      </w:pPr>
      <w:r>
        <w:rPr/>
      </w:r>
    </w:p>
    <w:p>
      <w:pPr>
        <w:pStyle w:val="Normal"/>
        <w:suppressAutoHyphens w:val="true"/>
        <w:spacing w:lineRule="auto" w:line="240"/>
        <w:rPr/>
      </w:pPr>
      <w:r>
        <w:rPr/>
      </w:r>
    </w:p>
    <w:p>
      <w:pPr>
        <w:pStyle w:val="Normal"/>
        <w:suppressAutoHyphens w:val="true"/>
        <w:ind w:firstLine="432" w:end="0"/>
        <w:rPr/>
      </w:pPr>
      <w:r>
        <w:rPr/>
        <w:t>On August 15, 2001, Administrative Law Judge (ALJ) Wetzell issued an “ADMINISTRATIVE LAW JUDGE’S RULING ON THE AUGUST 7, 2001 REVENUE REQUIREMENT OF THE DEPARTMENT OF WATER RESOURCES” directing San Diego Gas &amp; Electric Company (SDG&amp;E) to produce updated estimates, including supporting analyses, of the system average electric rate increases required based on the revised revenue requirements determined by the Department of Water Resources’ (DWR), as set forth in the August 7, 2001 DWR communication to the California Public Utilities Commission.</w:t>
      </w:r>
      <w:r>
        <w:rPr>
          <w:rStyle w:val="FootnoteCharacters"/>
          <w:rStyle w:val="FootnoteReference"/>
        </w:rPr>
        <w:footnoteReference w:id="2"/>
      </w:r>
      <w:r>
        <w:rPr/>
        <w:t xml:space="preserve">  </w:t>
      </w:r>
    </w:p>
    <w:p>
      <w:pPr>
        <w:pStyle w:val="Normal"/>
        <w:suppressAutoHyphens w:val="true"/>
        <w:ind w:firstLine="432" w:end="0"/>
        <w:rPr/>
      </w:pPr>
      <w:r>
        <w:rPr/>
        <w:t>SDG&amp;E was ordered to serve its estimates of the required increases by electronic means not later than August 16, 2001.</w:t>
      </w:r>
      <w:r>
        <w:rPr>
          <w:rStyle w:val="FootnoteCharacters"/>
          <w:rStyle w:val="FootnoteReference"/>
        </w:rPr>
        <w:footnoteReference w:id="3"/>
      </w:r>
      <w:r>
        <w:rPr/>
        <w:t xml:space="preserve">  The Ruling provided as follows:</w:t>
      </w:r>
    </w:p>
    <w:p>
      <w:pPr>
        <w:pStyle w:val="standard"/>
        <w:numPr>
          <w:ilvl w:val="0"/>
          <w:numId w:val="3"/>
        </w:numPr>
        <w:spacing w:lineRule="auto" w:line="240"/>
        <w:ind w:hanging="432" w:start="432" w:end="720"/>
        <w:rPr>
          <w:rFonts w:ascii="Times New Roman" w:hAnsi="Times New Roman" w:cs="Times New Roman"/>
          <w:sz w:val="24"/>
        </w:rPr>
      </w:pPr>
      <w:r>
        <w:rPr>
          <w:rFonts w:cs="Times New Roman" w:ascii="Times New Roman" w:hAnsi="Times New Roman"/>
          <w:sz w:val="24"/>
        </w:rPr>
        <w:t>SDG&amp;E shall use the relevant data that is set forth in Exhibit A, Table A-6, of DWR’s August 7, 2001 communication.</w:t>
      </w:r>
    </w:p>
    <w:p>
      <w:pPr>
        <w:pStyle w:val="standard"/>
        <w:numPr>
          <w:ilvl w:val="0"/>
          <w:numId w:val="0"/>
        </w:numPr>
        <w:spacing w:lineRule="auto" w:line="240"/>
        <w:ind w:hanging="0" w:start="720" w:end="720"/>
        <w:rPr>
          <w:rFonts w:ascii="Times New Roman" w:hAnsi="Times New Roman" w:cs="Times New Roman"/>
          <w:sz w:val="24"/>
        </w:rPr>
      </w:pPr>
      <w:r>
        <w:rPr>
          <w:rFonts w:cs="Times New Roman" w:ascii="Times New Roman" w:hAnsi="Times New Roman"/>
          <w:sz w:val="24"/>
        </w:rPr>
      </w:r>
    </w:p>
    <w:p>
      <w:pPr>
        <w:pStyle w:val="standard"/>
        <w:numPr>
          <w:ilvl w:val="0"/>
          <w:numId w:val="3"/>
        </w:numPr>
        <w:spacing w:lineRule="auto" w:line="240"/>
        <w:ind w:hanging="432" w:start="432" w:end="720"/>
        <w:rPr>
          <w:rFonts w:ascii="Times New Roman" w:hAnsi="Times New Roman" w:cs="Times New Roman"/>
          <w:sz w:val="24"/>
        </w:rPr>
      </w:pPr>
      <w:r>
        <w:rPr>
          <w:rFonts w:cs="Times New Roman" w:ascii="Times New Roman" w:hAnsi="Times New Roman"/>
          <w:sz w:val="24"/>
        </w:rPr>
        <w:t xml:space="preserve">SDG&amp;E shall present alternative calculations of the required system average rate increases using (1) the format of Exhibit 14 (which is based on SDG&amp;E’s position with respect to the allocation of utility-retained generation (URG) to “small” customers) and (2) the format of Exhibit 18 (which is based on the position of certain other parties with respect to the URG allocation).  </w:t>
      </w:r>
    </w:p>
    <w:p>
      <w:pPr>
        <w:pStyle w:val="standard"/>
        <w:numPr>
          <w:ilvl w:val="0"/>
          <w:numId w:val="0"/>
        </w:numPr>
        <w:spacing w:lineRule="auto" w:line="240"/>
        <w:ind w:hanging="0" w:start="720" w:end="720"/>
        <w:rPr>
          <w:rFonts w:ascii="Times New Roman" w:hAnsi="Times New Roman" w:cs="Times New Roman"/>
          <w:sz w:val="24"/>
        </w:rPr>
      </w:pPr>
      <w:r>
        <w:rPr>
          <w:rFonts w:cs="Times New Roman" w:ascii="Times New Roman" w:hAnsi="Times New Roman"/>
          <w:sz w:val="24"/>
        </w:rPr>
      </w:r>
    </w:p>
    <w:p>
      <w:pPr>
        <w:pStyle w:val="standard"/>
        <w:numPr>
          <w:ilvl w:val="0"/>
          <w:numId w:val="3"/>
        </w:numPr>
        <w:spacing w:lineRule="auto" w:line="240"/>
        <w:ind w:hanging="432" w:start="432" w:end="720"/>
        <w:rPr>
          <w:rFonts w:ascii="Times New Roman" w:hAnsi="Times New Roman" w:cs="Times New Roman"/>
          <w:sz w:val="24"/>
        </w:rPr>
      </w:pPr>
      <w:r>
        <w:rPr>
          <w:rFonts w:cs="Times New Roman" w:ascii="Times New Roman" w:hAnsi="Times New Roman"/>
          <w:sz w:val="24"/>
        </w:rPr>
        <w:t>For both the Exhibit 14 format and the Exhibit 18 format, SDG&amp;E shall present alternative calculations of the required system average rate increases that (1) collect the DWR-related rate increases over the remaining 5 quarters of the revenue requirement period set forth in Table A-6 (i.e., the fourth quarter of 2001 and the four quarters of 2002), (2) collect the DWR–related rate increases over the next 8 quarters (i.e., the fourth quarter of 2001, the four quarters of 2002, and the first three quarters of 2003), and (3) collect the DWR–related rate increases over the  period from September 1, 2001 through December 31, 2002.</w:t>
      </w:r>
      <w:r>
        <w:rPr>
          <w:rStyle w:val="FootnoteCharacters"/>
          <w:rFonts w:cs="Times New Roman" w:ascii="Times New Roman" w:hAnsi="Times New Roman"/>
        </w:rPr>
        <w:t xml:space="preserve"> </w:t>
      </w:r>
      <w:r>
        <w:rPr>
          <w:rStyle w:val="FootnoteCharacters"/>
          <w:rStyle w:val="FootnoteReference"/>
          <w:rFonts w:cs="Times New Roman" w:ascii="Times New Roman" w:hAnsi="Times New Roman"/>
        </w:rPr>
        <w:footnoteReference w:id="4"/>
      </w:r>
    </w:p>
    <w:p>
      <w:pPr>
        <w:pStyle w:val="standard"/>
        <w:numPr>
          <w:ilvl w:val="0"/>
          <w:numId w:val="0"/>
        </w:numPr>
        <w:spacing w:lineRule="auto" w:line="240"/>
        <w:ind w:hanging="0" w:start="720" w:end="720"/>
        <w:rPr>
          <w:rFonts w:ascii="Times New Roman" w:hAnsi="Times New Roman" w:cs="Times New Roman"/>
          <w:sz w:val="24"/>
        </w:rPr>
      </w:pPr>
      <w:r>
        <w:rPr>
          <w:rFonts w:cs="Times New Roman" w:ascii="Times New Roman" w:hAnsi="Times New Roman"/>
          <w:sz w:val="24"/>
        </w:rPr>
      </w:r>
    </w:p>
    <w:p>
      <w:pPr>
        <w:pStyle w:val="standard"/>
        <w:numPr>
          <w:ilvl w:val="0"/>
          <w:numId w:val="3"/>
        </w:numPr>
        <w:spacing w:lineRule="auto" w:line="240"/>
        <w:ind w:hanging="432" w:start="432" w:end="720"/>
        <w:rPr>
          <w:rFonts w:ascii="Times New Roman" w:hAnsi="Times New Roman" w:cs="Times New Roman"/>
          <w:sz w:val="24"/>
        </w:rPr>
      </w:pPr>
      <w:r>
        <w:rPr>
          <w:rFonts w:cs="Times New Roman" w:ascii="Times New Roman" w:hAnsi="Times New Roman"/>
          <w:sz w:val="24"/>
        </w:rPr>
        <w:t>SDG&amp;E shall revise the assumed ISO charges set forth in Exhibits 14 and 18 to reflect the revised time period of the DWR revenue requirement (relative to the time period associated with the May 2, 2001 DWR revenue requirement calculation that is reflected in Exhibits 14 and 18) and to be consistent with the DWR calculations regarding ancillary services.</w:t>
      </w:r>
    </w:p>
    <w:p>
      <w:pPr>
        <w:pStyle w:val="standard"/>
        <w:numPr>
          <w:ilvl w:val="0"/>
          <w:numId w:val="0"/>
        </w:numPr>
        <w:spacing w:lineRule="auto" w:line="240"/>
        <w:ind w:hanging="0" w:start="720" w:end="720"/>
        <w:rPr>
          <w:rFonts w:ascii="Times New Roman" w:hAnsi="Times New Roman" w:cs="Times New Roman"/>
          <w:sz w:val="24"/>
        </w:rPr>
      </w:pPr>
      <w:r>
        <w:rPr>
          <w:rFonts w:cs="Times New Roman" w:ascii="Times New Roman" w:hAnsi="Times New Roman"/>
          <w:sz w:val="24"/>
        </w:rPr>
      </w:r>
    </w:p>
    <w:p>
      <w:pPr>
        <w:pStyle w:val="standard"/>
        <w:numPr>
          <w:ilvl w:val="0"/>
          <w:numId w:val="3"/>
        </w:numPr>
        <w:spacing w:lineRule="auto" w:line="240"/>
        <w:ind w:hanging="432" w:start="432" w:end="720"/>
        <w:rPr>
          <w:rFonts w:ascii="Times New Roman" w:hAnsi="Times New Roman" w:cs="Times New Roman"/>
          <w:sz w:val="24"/>
        </w:rPr>
      </w:pPr>
      <w:r>
        <w:rPr>
          <w:rFonts w:cs="Times New Roman" w:ascii="Times New Roman" w:hAnsi="Times New Roman"/>
          <w:sz w:val="24"/>
        </w:rPr>
        <w:t>SDG&amp;E shall revise the assumed URG revenue requirements set forth in Exhibits 14 and 18 to reflect the revised time period of the DWR revenue requirement (relative to the time period associated with the May 2, 2001 DWR revenue requirement calculation that is reflected in Exhibits 14 and 18) and as may be necessary to be consistent with the URG testimony SDG&amp;E has introduced in A.00-11-038, et al.</w:t>
      </w:r>
    </w:p>
    <w:p>
      <w:pPr>
        <w:pStyle w:val="standard"/>
        <w:numPr>
          <w:ilvl w:val="0"/>
          <w:numId w:val="0"/>
        </w:numPr>
        <w:spacing w:lineRule="auto" w:line="240"/>
        <w:ind w:hanging="0" w:start="720" w:end="720"/>
        <w:rPr>
          <w:rFonts w:ascii="Times New Roman" w:hAnsi="Times New Roman" w:cs="Times New Roman"/>
          <w:sz w:val="24"/>
        </w:rPr>
      </w:pPr>
      <w:r>
        <w:rPr>
          <w:rFonts w:cs="Times New Roman" w:ascii="Times New Roman" w:hAnsi="Times New Roman"/>
          <w:sz w:val="24"/>
        </w:rPr>
      </w:r>
    </w:p>
    <w:p>
      <w:pPr>
        <w:pStyle w:val="standard"/>
        <w:numPr>
          <w:ilvl w:val="0"/>
          <w:numId w:val="0"/>
        </w:numPr>
        <w:ind w:firstLine="450" w:start="0" w:end="0"/>
        <w:rPr>
          <w:rFonts w:ascii="Times New Roman" w:hAnsi="Times New Roman" w:cs="Times New Roman"/>
          <w:sz w:val="24"/>
        </w:rPr>
      </w:pPr>
      <w:r>
        <w:rPr>
          <w:rFonts w:cs="Times New Roman" w:ascii="Times New Roman" w:hAnsi="Times New Roman"/>
          <w:sz w:val="24"/>
        </w:rPr>
        <w:t>As required by ALJ Wetzell’s Ruling, SDG&amp;E is providing in the attachments hereto its calculations of required system average rate increases based on the revised revenue requirements determined by the DWR in its August 7, 2001 communication to the CPUC.  SDG&amp;E is also providing in the attachments the analyses supporting its estimates, set forth in its comments dated August 14, 2001, that depending on certain assumptions, system average increases of 2.84 cents per kWh or 3.80 cents per kWh may be required.  The attachments hereto are summarized as follows:</w:t>
      </w:r>
    </w:p>
    <w:p>
      <w:pPr>
        <w:pStyle w:val="standard"/>
        <w:numPr>
          <w:ilvl w:val="0"/>
          <w:numId w:val="2"/>
        </w:numPr>
        <w:rPr>
          <w:rFonts w:ascii="Times New Roman" w:hAnsi="Times New Roman" w:cs="Times New Roman"/>
          <w:sz w:val="24"/>
        </w:rPr>
      </w:pPr>
      <w:r>
        <w:rPr>
          <w:rFonts w:cs="Times New Roman" w:ascii="Times New Roman" w:hAnsi="Times New Roman"/>
          <w:sz w:val="24"/>
        </w:rPr>
        <w:t>There are two documents in the attachments providing the assumptions used in SDG&amp;E’s analysis.  They are labeled “Exhibit 14 Assumptions” and “Exhibit 18 Assumptions.”  There is also a document labeled “DWR Rate Increase Summary” that summarizes the outcomes of all the scenarios SDG&amp;E was requested to analyze.</w:t>
      </w:r>
    </w:p>
    <w:p>
      <w:pPr>
        <w:pStyle w:val="Normal"/>
        <w:numPr>
          <w:ilvl w:val="0"/>
          <w:numId w:val="2"/>
        </w:numPr>
        <w:rPr/>
      </w:pPr>
      <w:r>
        <w:rPr>
          <w:b/>
        </w:rPr>
        <w:t>Scenario 1</w:t>
      </w:r>
      <w:r>
        <w:rPr/>
        <w:t xml:space="preserve"> for Exhibits 14 and 18 shows rates if DWR’s revenue requirement is recovered over 15 months (from 10/1 to 12/31/02).  </w:t>
      </w:r>
    </w:p>
    <w:p>
      <w:pPr>
        <w:pStyle w:val="Normal"/>
        <w:numPr>
          <w:ilvl w:val="0"/>
          <w:numId w:val="2"/>
        </w:numPr>
        <w:rPr>
          <w:b/>
        </w:rPr>
      </w:pPr>
      <w:r>
        <w:rPr>
          <w:b/>
        </w:rPr>
        <w:t>Scenario 2</w:t>
      </w:r>
      <w:r>
        <w:rPr/>
        <w:t xml:space="preserve"> for Exhibits 14 and 18 shows rates if DWR’s revenue requirement is recovered over 24 months (from 10/1/01 to 9/ 30/03).</w:t>
      </w:r>
    </w:p>
    <w:p>
      <w:pPr>
        <w:pStyle w:val="Normal"/>
        <w:numPr>
          <w:ilvl w:val="0"/>
          <w:numId w:val="2"/>
        </w:numPr>
        <w:rPr>
          <w:b/>
        </w:rPr>
      </w:pPr>
      <w:r>
        <w:rPr>
          <w:b/>
        </w:rPr>
        <w:t xml:space="preserve">Scenario 3 </w:t>
      </w:r>
      <w:r>
        <w:rPr/>
        <w:t>for Exhibits 14 and 18 shows rates if DWR’s revenue requirement is recovered over 16 months (from 9/1/01 to 12/31/02).</w:t>
      </w:r>
    </w:p>
    <w:p>
      <w:pPr>
        <w:pStyle w:val="Normal"/>
        <w:numPr>
          <w:ilvl w:val="0"/>
          <w:numId w:val="2"/>
        </w:numPr>
        <w:rPr/>
      </w:pPr>
      <w:r>
        <w:rPr>
          <w:b/>
        </w:rPr>
        <w:t>Scenario 4</w:t>
      </w:r>
      <w:r>
        <w:rPr/>
        <w:t xml:space="preserve"> for Exhibits 14 and 18 responds to the Ruling’s request that SDG&amp;E provide support for its estimates, set forth in its comments dated August 14, 2001, that depending on certain assumptions, system average increases of 2.84 cents per kWh or 3.80 cents per kWh may be required from 10/1 to 12/31/02. </w:t>
      </w:r>
    </w:p>
    <w:p>
      <w:pPr>
        <w:pStyle w:val="Normal"/>
        <w:numPr>
          <w:ilvl w:val="0"/>
          <w:numId w:val="2"/>
        </w:numPr>
        <w:rPr/>
      </w:pPr>
      <w:r>
        <w:rPr>
          <w:b/>
        </w:rPr>
        <w:t>Scenario 5</w:t>
      </w:r>
      <w:r>
        <w:rPr/>
        <w:t xml:space="preserve"> for Exhibits 14 and 18 responds to the Ruling’s request that SDG&amp;E provide support for its estimates, set forth in its comments dated August 14, 2001, that depending on certain assumptions, system average increases of 2.84 cents per kWh may be required from 3/27/01 to 12/31/02..</w:t>
      </w:r>
    </w:p>
    <w:p>
      <w:pPr>
        <w:pStyle w:val="standard"/>
        <w:rPr/>
      </w:pPr>
      <w:r>
        <w:rPr>
          <w:rFonts w:cs="Times New Roman" w:ascii="Times New Roman" w:hAnsi="Times New Roman"/>
          <w:b/>
          <w:sz w:val="24"/>
        </w:rPr>
        <w:t xml:space="preserve"> </w:t>
      </w:r>
      <w:r>
        <w:rPr>
          <w:rFonts w:cs="Times New Roman" w:ascii="Times New Roman" w:hAnsi="Times New Roman"/>
          <w:sz w:val="24"/>
        </w:rPr>
        <w:t xml:space="preserve">ALJ Wetzell’s ruling allowed SDG&amp;E the discretion to also produce any alternative rate increase calculation SDG&amp;E believes to be necessary and appropriate for collection of the updated DWR revenue requirement.  Attached as </w:t>
      </w:r>
      <w:r>
        <w:rPr>
          <w:rFonts w:cs="Times New Roman" w:ascii="Times New Roman" w:hAnsi="Times New Roman"/>
          <w:b/>
          <w:sz w:val="24"/>
        </w:rPr>
        <w:t>Scenario 6</w:t>
      </w:r>
      <w:r>
        <w:rPr>
          <w:rFonts w:cs="Times New Roman" w:ascii="Times New Roman" w:hAnsi="Times New Roman"/>
          <w:sz w:val="24"/>
        </w:rPr>
        <w:t xml:space="preserve"> for Exhibit 14 [SDG&amp;E’s proposal] is a spreadsheet showing rates from 10/1/01 to 12/31/02 assuming that the DWR revenue requirement is reduced sufficiently to achieve a overall system average of 3.00 cents per kWh.</w:t>
      </w:r>
      <w:r>
        <w:rPr>
          <w:rFonts w:cs="Times New Roman" w:ascii="Times New Roman" w:hAnsi="Times New Roman"/>
          <w:b/>
          <w:sz w:val="24"/>
        </w:rPr>
        <w:t xml:space="preserve"> </w:t>
      </w:r>
      <w:r>
        <w:rPr>
          <w:rFonts w:cs="Times New Roman" w:ascii="Times New Roman" w:hAnsi="Times New Roman"/>
          <w:sz w:val="24"/>
        </w:rPr>
        <w:t>SDG&amp;E notes the following information pertaining to the various attachments hereto:</w:t>
      </w:r>
    </w:p>
    <w:p>
      <w:pPr>
        <w:pStyle w:val="Normal"/>
        <w:numPr>
          <w:ilvl w:val="0"/>
          <w:numId w:val="1"/>
        </w:numPr>
        <w:rPr>
          <w:color w:val="000000"/>
        </w:rPr>
      </w:pPr>
      <w:r>
        <w:rPr>
          <w:color w:val="000000"/>
        </w:rPr>
        <w:t xml:space="preserve">SDG&amp;E has provided its forecasts of URG and ancillary services and other ISO charge for July - December of 2002. SDG&amp;E notes that the URG data already was provided in response to an Energy Division data request in the URG proceeding. </w:t>
      </w:r>
    </w:p>
    <w:p>
      <w:pPr>
        <w:pStyle w:val="Normal"/>
        <w:numPr>
          <w:ilvl w:val="0"/>
          <w:numId w:val="1"/>
        </w:numPr>
        <w:rPr>
          <w:color w:val="000000"/>
        </w:rPr>
      </w:pPr>
      <w:r>
        <w:rPr>
          <w:color w:val="000000"/>
        </w:rPr>
        <w:t xml:space="preserve">SDG&amp;E has also split out the forecast of ISO charges to be consistent with the URG proceeding which splits that lump sum into Ancillary services, other ISO charges and GMC (Grid management charge).  This is consistent with the Restated Letter Agreement between DWR and SDG&amp;E in which DWR agrees to pay the ISO for Ancillary Services and imbalance energy and SDG&amp;E agrees to pay for Other ISO Charges and the GMC (grid management charge).  </w:t>
      </w:r>
      <w:r>
        <w:rPr>
          <w:i/>
          <w:color w:val="000000"/>
        </w:rPr>
        <w:t>See</w:t>
      </w:r>
      <w:r>
        <w:rPr>
          <w:color w:val="000000"/>
        </w:rPr>
        <w:t>: the first footnote in Scenarios 1, 2, and 3 for Exhibits 14 and 18.   As noted in SDG&amp;E’s comments on DWR’s August 7</w:t>
      </w:r>
      <w:r>
        <w:rPr>
          <w:color w:val="000000"/>
          <w:vertAlign w:val="superscript"/>
        </w:rPr>
        <w:t>th</w:t>
      </w:r>
      <w:r>
        <w:rPr>
          <w:color w:val="000000"/>
        </w:rPr>
        <w:t xml:space="preserve"> revenue requirement, DWR has included some of the Other ISO Charges (namely Neutrality and UFE) in its forecast of Ancillary Services:  </w:t>
      </w:r>
    </w:p>
    <w:p>
      <w:pPr>
        <w:pStyle w:val="Normal"/>
        <w:ind w:start="720" w:end="0"/>
        <w:rPr>
          <w:color w:val="000000"/>
        </w:rPr>
      </w:pPr>
      <w:r>
        <w:rPr/>
        <w:t>“</w:t>
      </w:r>
      <w:r>
        <w:rPr/>
        <w:t xml:space="preserve">The estimates of the ancillary services costs in the DWR Revenue Requirement are expected to be sufficient to cover the neutrality and UFE costs for those utilities service territories.  </w:t>
      </w:r>
      <w:r>
        <w:rPr>
          <w:u w:val="single"/>
        </w:rPr>
        <w:t>These costs will need to be tracked to avoid the allocation of such costs to SDG&amp;E customers, since those costs will be paid directly by SDG&amp;E rather than through DWR.  Due to the variability of such costs, and the fact that it is the ISO and not DWR who allocates such costs, the allocation of costs will need to be addressed in the form of an after-the-fact true up.</w:t>
      </w:r>
      <w:r>
        <w:rPr/>
        <w:t xml:space="preserve">  DWR will cooperate with the PUC to effect an appropriate true up mechanism for these ISO charges for the period covered by the DWR Revenue Requirement.”</w:t>
      </w:r>
    </w:p>
    <w:p>
      <w:pPr>
        <w:pStyle w:val="Normal"/>
        <w:numPr>
          <w:ilvl w:val="0"/>
          <w:numId w:val="1"/>
        </w:numPr>
        <w:rPr>
          <w:color w:val="000000"/>
        </w:rPr>
      </w:pPr>
      <w:r>
        <w:rPr>
          <w:color w:val="000000"/>
        </w:rPr>
        <w:t xml:space="preserve">SDG&amp;E’s attachments have not provided any modifications to the same ancillary services forecast. As noted in SDG&amp;E’s comments on the DWR revised revenue requirement, DWR and SDG&amp;E use the same forecast method. </w:t>
      </w:r>
    </w:p>
    <w:p>
      <w:pPr>
        <w:pStyle w:val="Normal"/>
        <w:numPr>
          <w:ilvl w:val="0"/>
          <w:numId w:val="1"/>
        </w:numPr>
        <w:rPr>
          <w:color w:val="000000"/>
        </w:rPr>
      </w:pPr>
      <w:r>
        <w:rPr/>
        <w:t xml:space="preserve">In the attachments hereto, for both Exhibits 14 and 18, forecasted gas prices pertaining to SDG&amp;E’s URG are based on a </w:t>
      </w:r>
      <w:r>
        <w:rPr>
          <w:color w:val="000000"/>
        </w:rPr>
        <w:t>March 9 price forecast for natural gas</w:t>
      </w:r>
      <w:r>
        <w:rPr/>
        <w:t xml:space="preserve"> consistent with SDG&amp;E's URG testimony served on June 20, 2001</w:t>
      </w:r>
      <w:r>
        <w:rPr>
          <w:color w:val="000000"/>
        </w:rPr>
        <w:t xml:space="preserve">. In order that SDG&amp;E's and DWR's respective revenue requirements are based on comparable assumptions, SDG&amp;E continues to use in this updated estimate of its URG revenue requirement the March 2001 gas price forecast. On August 14, 2001 in the URG revenue requirement phase, at the request of the ALJ, SDG&amp;E provided a revised (and lower) URG revenue requirement based on a more recent (and lower) gas price forecast.  </w:t>
      </w:r>
    </w:p>
    <w:p>
      <w:pPr>
        <w:pStyle w:val="Normal"/>
        <w:rPr>
          <w:color w:val="000000"/>
        </w:rPr>
      </w:pPr>
      <w:r>
        <w:rPr>
          <w:color w:val="000000"/>
        </w:rPr>
        <w:t>///</w:t>
      </w:r>
    </w:p>
    <w:p>
      <w:pPr>
        <w:pStyle w:val="Normal"/>
        <w:rPr>
          <w:color w:val="000000"/>
        </w:rPr>
      </w:pPr>
      <w:r>
        <w:rPr>
          <w:color w:val="000000"/>
        </w:rPr>
        <w:t>///</w:t>
      </w:r>
    </w:p>
    <w:p>
      <w:pPr>
        <w:pStyle w:val="Normal"/>
        <w:rPr>
          <w:color w:val="000000"/>
        </w:rPr>
      </w:pPr>
      <w:r>
        <w:rPr>
          <w:color w:val="000000"/>
        </w:rPr>
        <w:t>///</w:t>
      </w:r>
    </w:p>
    <w:p>
      <w:pPr>
        <w:pStyle w:val="Normal"/>
        <w:rPr>
          <w:color w:val="000000"/>
        </w:rPr>
      </w:pPr>
      <w:r>
        <w:rPr>
          <w:color w:val="000000"/>
        </w:rPr>
        <w:t>///</w:t>
      </w:r>
    </w:p>
    <w:p>
      <w:pPr>
        <w:pStyle w:val="Normal"/>
        <w:rPr>
          <w:color w:val="000000"/>
        </w:rPr>
      </w:pPr>
      <w:r>
        <w:rPr>
          <w:color w:val="000000"/>
        </w:rPr>
        <w:t>///</w:t>
      </w:r>
    </w:p>
    <w:p>
      <w:pPr>
        <w:pStyle w:val="Normal"/>
        <w:rPr>
          <w:color w:val="000000"/>
        </w:rPr>
      </w:pPr>
      <w:r>
        <w:rPr>
          <w:color w:val="000000"/>
        </w:rPr>
        <w:t>///</w:t>
      </w:r>
    </w:p>
    <w:p>
      <w:pPr>
        <w:pStyle w:val="Normal"/>
        <w:numPr>
          <w:ilvl w:val="0"/>
          <w:numId w:val="1"/>
        </w:numPr>
        <w:rPr/>
      </w:pPr>
      <w:r>
        <w:rPr/>
        <w:t>SDG&amp;E customers are not currently paying a DWR rate increase.  As stated in SDG&amp;E July 23 Comments on DWR’s Revised Revenue Requirement, the earliest date that SDG&amp;E can implement the DWR rate increases is October 1, 2001.</w:t>
      </w:r>
    </w:p>
    <w:p>
      <w:pPr>
        <w:pStyle w:val="Normal"/>
        <w:rPr>
          <w:color w:val="000000"/>
        </w:rPr>
      </w:pPr>
      <w:r>
        <w:rPr>
          <w:color w:val="000000"/>
        </w:rPr>
      </w:r>
    </w:p>
    <w:p>
      <w:pPr>
        <w:pStyle w:val="Normal"/>
        <w:rPr>
          <w:color w:val="000000"/>
        </w:rPr>
      </w:pPr>
      <w:r>
        <w:rPr>
          <w:color w:val="000000"/>
        </w:rPr>
      </w:r>
    </w:p>
    <w:p>
      <w:pPr>
        <w:pStyle w:val="Normal"/>
        <w:widowControl w:val="false"/>
        <w:ind w:firstLine="720" w:start="3600" w:end="0"/>
        <w:rPr>
          <w:color w:val="000000"/>
        </w:rPr>
      </w:pPr>
      <w:r>
        <w:rPr>
          <w:color w:val="000000"/>
        </w:rPr>
        <w:t>Respectfully submitted,</w:t>
      </w:r>
    </w:p>
    <w:p>
      <w:pPr>
        <w:pStyle w:val="Normal"/>
        <w:widowControl w:val="false"/>
        <w:spacing w:lineRule="auto" w:line="240"/>
        <w:ind w:firstLine="720" w:start="3600" w:end="0"/>
        <w:rPr>
          <w:color w:val="000000"/>
        </w:rPr>
      </w:pPr>
      <w:r>
        <w:rPr>
          <w:color w:val="000000"/>
        </w:rPr>
      </w:r>
    </w:p>
    <w:p>
      <w:pPr>
        <w:pStyle w:val="Normal"/>
        <w:widowControl w:val="false"/>
        <w:tabs>
          <w:tab w:val="clear" w:pos="720"/>
          <w:tab w:val="left" w:pos="-2340" w:leader="none"/>
        </w:tabs>
        <w:spacing w:lineRule="auto" w:line="240"/>
        <w:ind w:end="-540"/>
        <w:jc w:val="both"/>
        <w:rPr>
          <w:color w:val="000000"/>
        </w:rPr>
      </w:pPr>
      <w:r>
        <w:rPr>
          <w:color w:val="000000"/>
        </w:rPr>
        <w:tab/>
        <w:t xml:space="preserve">       </w:t>
        <w:tab/>
        <w:tab/>
        <w:tab/>
        <w:tab/>
        <w:tab/>
        <w:t>By:</w:t>
        <w:tab/>
        <w:t>_________-s-___________________</w:t>
        <w:tab/>
      </w:r>
    </w:p>
    <w:p>
      <w:pPr>
        <w:pStyle w:val="Normal"/>
        <w:widowControl w:val="false"/>
        <w:spacing w:lineRule="auto" w:line="240"/>
        <w:ind w:start="5040" w:end="0"/>
        <w:jc w:val="both"/>
        <w:rPr>
          <w:color w:val="000000"/>
        </w:rPr>
      </w:pPr>
      <w:r>
        <w:rPr>
          <w:color w:val="000000"/>
        </w:rPr>
        <w:t>Keith W. Melville</w:t>
      </w:r>
    </w:p>
    <w:p>
      <w:pPr>
        <w:pStyle w:val="Normal"/>
        <w:widowControl w:val="false"/>
        <w:spacing w:lineRule="auto" w:line="240"/>
        <w:ind w:start="5040" w:end="0"/>
        <w:jc w:val="both"/>
        <w:rPr>
          <w:color w:val="000000"/>
        </w:rPr>
      </w:pPr>
      <w:r>
        <w:rPr>
          <w:color w:val="000000"/>
        </w:rPr>
        <w:t xml:space="preserve">Jeffrey M. Parrott </w:t>
      </w:r>
    </w:p>
    <w:p>
      <w:pPr>
        <w:pStyle w:val="Normal"/>
        <w:widowControl w:val="false"/>
        <w:spacing w:lineRule="auto" w:line="240"/>
        <w:ind w:start="5040" w:end="0"/>
        <w:jc w:val="both"/>
        <w:rPr>
          <w:color w:val="000000"/>
        </w:rPr>
      </w:pPr>
      <w:r>
        <w:rPr>
          <w:color w:val="000000"/>
        </w:rPr>
        <w:t>101 Ash Street</w:t>
      </w:r>
    </w:p>
    <w:p>
      <w:pPr>
        <w:pStyle w:val="Normal"/>
        <w:widowControl w:val="false"/>
        <w:spacing w:lineRule="auto" w:line="240"/>
        <w:ind w:start="5040" w:end="0"/>
        <w:jc w:val="both"/>
        <w:rPr>
          <w:color w:val="000000"/>
        </w:rPr>
      </w:pPr>
      <w:r>
        <w:rPr>
          <w:color w:val="000000"/>
        </w:rPr>
        <w:t xml:space="preserve">San Diego, California 92101-3017 </w:t>
      </w:r>
    </w:p>
    <w:p>
      <w:pPr>
        <w:pStyle w:val="Normal"/>
        <w:widowControl w:val="false"/>
        <w:spacing w:lineRule="auto" w:line="240"/>
        <w:ind w:start="5040" w:end="0"/>
        <w:jc w:val="both"/>
        <w:rPr>
          <w:color w:val="000000"/>
        </w:rPr>
      </w:pPr>
      <w:r>
        <w:rPr>
          <w:color w:val="000000"/>
        </w:rPr>
        <w:t>Telephone:  (619) 699-5039</w:t>
      </w:r>
    </w:p>
    <w:p>
      <w:pPr>
        <w:pStyle w:val="Normal"/>
        <w:widowControl w:val="false"/>
        <w:spacing w:lineRule="auto" w:line="240"/>
        <w:ind w:start="5040" w:end="0"/>
        <w:jc w:val="both"/>
        <w:rPr>
          <w:color w:val="000000"/>
        </w:rPr>
      </w:pPr>
      <w:r>
        <w:rPr>
          <w:color w:val="000000"/>
        </w:rPr>
        <w:t>Facsimile:   (619) 699-5027</w:t>
      </w:r>
    </w:p>
    <w:p>
      <w:pPr>
        <w:pStyle w:val="Normal"/>
        <w:widowControl w:val="false"/>
        <w:spacing w:lineRule="auto" w:line="240"/>
        <w:ind w:start="5040" w:end="0"/>
        <w:jc w:val="both"/>
        <w:rPr/>
      </w:pPr>
      <w:r>
        <w:rPr>
          <w:color w:val="000000"/>
        </w:rPr>
        <w:t xml:space="preserve">E-mail: </w:t>
      </w:r>
      <w:r>
        <w:rPr>
          <w:rStyle w:val="Hyperlink"/>
          <w:color w:val="000000"/>
        </w:rPr>
        <w:t>kmelville@sempra.com</w:t>
      </w:r>
    </w:p>
    <w:p>
      <w:pPr>
        <w:pStyle w:val="Normal"/>
        <w:widowControl w:val="false"/>
        <w:spacing w:lineRule="auto" w:line="240"/>
        <w:ind w:start="5040" w:end="0"/>
        <w:jc w:val="both"/>
        <w:rPr/>
      </w:pPr>
      <w:r>
        <w:rPr>
          <w:rStyle w:val="Hyperlink"/>
          <w:color w:val="000000"/>
        </w:rPr>
        <w:t>jparrott@sempra.com</w:t>
      </w:r>
    </w:p>
    <w:p>
      <w:pPr>
        <w:pStyle w:val="Normal"/>
        <w:widowControl w:val="false"/>
        <w:spacing w:lineRule="auto" w:line="240"/>
        <w:ind w:start="5040" w:end="0"/>
        <w:jc w:val="both"/>
        <w:rPr>
          <w:rStyle w:val="Hyperlink"/>
          <w:color w:val="000000"/>
        </w:rPr>
      </w:pPr>
      <w:r>
        <w:rPr/>
      </w:r>
    </w:p>
    <w:p>
      <w:pPr>
        <w:pStyle w:val="Normal"/>
        <w:widowControl w:val="false"/>
        <w:tabs>
          <w:tab w:val="clear" w:pos="720"/>
          <w:tab w:val="left" w:pos="-2340" w:leader="none"/>
        </w:tabs>
        <w:spacing w:lineRule="auto" w:line="240"/>
        <w:ind w:start="5040" w:end="-540"/>
        <w:rPr>
          <w:color w:val="000000"/>
        </w:rPr>
      </w:pPr>
      <w:r>
        <w:rPr>
          <w:color w:val="000000"/>
        </w:rPr>
        <w:t>Attorneys for</w:t>
      </w:r>
    </w:p>
    <w:p>
      <w:pPr>
        <w:pStyle w:val="Normal"/>
        <w:widowControl w:val="false"/>
        <w:tabs>
          <w:tab w:val="clear" w:pos="720"/>
          <w:tab w:val="left" w:pos="-2340" w:leader="none"/>
        </w:tabs>
        <w:spacing w:lineRule="auto" w:line="240"/>
        <w:ind w:end="-540"/>
        <w:rPr/>
      </w:pPr>
      <w:r>
        <w:rPr/>
        <w:tab/>
        <w:tab/>
        <w:tab/>
        <w:tab/>
        <w:tab/>
        <w:tab/>
        <w:tab/>
        <w:t>San Diego Gas &amp; Electric Company</w:t>
      </w:r>
    </w:p>
    <w:p>
      <w:pPr>
        <w:pStyle w:val="standard"/>
        <w:rPr>
          <w:rFonts w:ascii="Times New Roman" w:hAnsi="Times New Roman" w:cs="Times New Roman"/>
          <w:sz w:val="24"/>
        </w:rPr>
      </w:pPr>
      <w:r>
        <w:rPr>
          <w:rFonts w:cs="Times New Roman" w:ascii="Times New Roman" w:hAnsi="Times New Roman"/>
          <w:sz w:val="24"/>
        </w:rPr>
        <w:t>Dated August 17, 2001</w:t>
      </w:r>
      <w:r>
        <w:br w:type="page"/>
      </w:r>
    </w:p>
    <w:p>
      <w:pPr>
        <w:pStyle w:val="Normal"/>
        <w:rPr>
          <w:rFonts w:ascii="Times New Roman" w:hAnsi="Times New Roman" w:cs="Times New Roman"/>
          <w:sz w:val="24"/>
        </w:rPr>
      </w:pPr>
      <w:r>
        <w:rPr>
          <w:rFonts w:cs="Times New Roman"/>
          <w:sz w:val="24"/>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240"/>
        <w:rPr/>
      </w:pPr>
      <w:r>
        <w:rPr>
          <w:rStyle w:val="FootnoteCharacters"/>
        </w:rPr>
        <w:footnoteRef/>
      </w:r>
      <w:r>
        <w:rPr>
          <w:rFonts w:cs="Times New Roman" w:ascii="Times New Roman" w:hAnsi="Times New Roman"/>
          <w:sz w:val="20"/>
        </w:rPr>
        <w:t xml:space="preserve"> </w:t>
      </w:r>
      <w:r>
        <w:rPr>
          <w:rFonts w:cs="Times New Roman" w:ascii="Times New Roman" w:hAnsi="Times New Roman"/>
          <w:i/>
          <w:sz w:val="20"/>
        </w:rPr>
        <w:t>See</w:t>
      </w:r>
      <w:r>
        <w:rPr>
          <w:rFonts w:cs="Times New Roman" w:ascii="Times New Roman" w:hAnsi="Times New Roman"/>
          <w:sz w:val="20"/>
        </w:rPr>
        <w:t xml:space="preserve"> August 7, 2001 Memorandum from Thomas M. Hannigan, Department of Water Resources, to Commissioner Geoffrey Brown, including Exhibits A, B, and C thereto.</w:t>
      </w:r>
    </w:p>
  </w:footnote>
  <w:footnote w:id="3">
    <w:p>
      <w:pPr>
        <w:pStyle w:val="FootnoteText"/>
        <w:spacing w:lineRule="auto" w:line="240" w:before="0" w:after="24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 xml:space="preserve">In a telephone call initiated in the evening of August 16, 2001 by Jeffrey M. Parrott, attorney for SDG&amp;E, ALJ Wetzell, at the request of Mr. Parrott, extended the time for SDG&amp;E to serve this reply to 9:00 A.M. on August 17, 2001.   </w:t>
      </w:r>
    </w:p>
  </w:footnote>
  <w:footnote w:id="4">
    <w:p>
      <w:pPr>
        <w:pStyle w:val="FootnoteText"/>
        <w:numPr>
          <w:ilvl w:val="0"/>
          <w:numId w:val="0"/>
        </w:numPr>
        <w:ind w:hanging="0" w:start="0"/>
        <w:rPr/>
      </w:pPr>
      <w:r>
        <w:rPr>
          <w:rStyle w:val="FootnoteCharacters"/>
        </w:rPr>
        <w:footnoteRef/>
      </w:r>
      <w:r>
        <w:rPr/>
        <w:t xml:space="preserve"> </w:t>
      </w:r>
      <w:r>
        <w:rPr>
          <w:rFonts w:cs="Times New Roman" w:ascii="Times New Roman" w:hAnsi="Times New Roman"/>
          <w:sz w:val="20"/>
        </w:rPr>
        <w:t>ALJ Wetzell’s Rulings states “Since Table A-6 has only quarterly information, SDG&amp;E should estimate September 2001 revenue requirements and sales and explain how it made that estimate.”  Given the short response time allowed, SDG&amp;E calculated September 2001 requirements and sales as one-third of the respective quarterly information shown in Table A-6.</w:t>
      </w:r>
    </w:p>
    <w:p>
      <w:pPr>
        <w:pStyle w:val="FootnoteText"/>
        <w:numPr>
          <w:ilvl w:val="0"/>
          <w:numId w:val="0"/>
        </w:numPr>
        <w:spacing w:before="0" w:after="240"/>
        <w:ind w:hanging="0" w:start="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432"/>
        </w:tabs>
        <w:ind w:start="432" w:hanging="432"/>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eastAsia="zh-CN" w:bidi="hi-IN"/>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auto" w:line="240"/>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before="0" w:after="240"/>
    </w:pPr>
    <w:rPr>
      <w:rFonts w:ascii="Palatino;Book Antiqua" w:hAnsi="Palatino;Book Antiqua" w:cs="Palatino;Book Antiqua"/>
    </w:rPr>
  </w:style>
  <w:style w:type="paragraph" w:styleId="standard">
    <w:name w:val="standard"/>
    <w:basedOn w:val="Normal"/>
    <w:qFormat/>
    <w:pPr>
      <w:ind w:firstLine="720" w:start="0" w:end="0"/>
    </w:pPr>
    <w:rPr>
      <w:rFonts w:ascii="Palatino;Book Antiqua" w:hAnsi="Palatino;Book Antiqua" w:cs="Palatino;Book Antiqua"/>
      <w:sz w:val="26"/>
    </w:rPr>
  </w:style>
  <w:style w:type="paragraph" w:styleId="main">
    <w:name w:val="main"/>
    <w:basedOn w:val="Normal"/>
    <w:qFormat/>
    <w:pPr>
      <w:spacing w:lineRule="auto" w:line="240"/>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spacing w:lineRule="auto" w:line="240"/>
    </w:pPr>
    <w:rPr>
      <w:rFonts w:ascii="Palatino;Book Antiqua" w:hAnsi="Palatino;Book Antiqua" w:cs="Palatino;Book Antiqua"/>
      <w:sz w:val="26"/>
    </w:rPr>
  </w:style>
  <w:style w:type="paragraph" w:styleId="Footer">
    <w:name w:val="footer"/>
    <w:basedOn w:val="Normal"/>
    <w:pPr>
      <w:tabs>
        <w:tab w:val="clear" w:pos="720"/>
        <w:tab w:val="center" w:pos="4320" w:leader="none"/>
        <w:tab w:val="right" w:pos="8640" w:leader="none"/>
      </w:tabs>
      <w:spacing w:lineRule="auto" w:line="240"/>
      <w:jc w:val="center"/>
    </w:pPr>
    <w:rPr>
      <w:rFonts w:ascii="Palatino;Book Antiqua" w:hAnsi="Palatino;Book Antiqua" w:cs="Palatino;Book Antiqua"/>
      <w:sz w:val="26"/>
    </w:rPr>
  </w:style>
  <w:style w:type="paragraph" w:styleId="BlockText">
    <w:name w:val="Block Text"/>
    <w:basedOn w:val="Normal"/>
    <w:qFormat/>
    <w:pPr>
      <w:tabs>
        <w:tab w:val="clear" w:pos="720"/>
        <w:tab w:val="left" w:pos="0" w:leader="none"/>
      </w:tabs>
      <w:spacing w:lineRule="auto" w:line="240"/>
      <w:ind w:hanging="0" w:start="1440" w:end="1440"/>
    </w:pPr>
    <w:rPr>
      <w:rFonts w:ascii="Palatino;Book Antiqua" w:hAnsi="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2001-08-16T21:39:00Z</dcterms:created>
  <dc:creator>Keith W. Melville</dc:creator>
  <dc:description/>
  <dc:language>en-CA</dc:language>
  <cp:lastModifiedBy>Sempra Energy</cp:lastModifiedBy>
  <dcterms:modified xsi:type="dcterms:W3CDTF">2001-08-17T12:51:00Z</dcterms:modified>
  <cp:revision>8</cp:revision>
  <dc:subject/>
  <dc:title>BEFORE THE PUBLIC UTILITIES COMMISSION OF THE STATE OF CALIFORNIA</dc:title>
</cp:coreProperties>
</file>