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ascii="HELVETICA" w:hAnsi="HELVETICA" w:cs="HELVETICA"/>
          <w:b/>
          <w:sz w:val="32"/>
        </w:rPr>
      </w:pPr>
      <w:r>
        <w:rPr/>
        <w:t>ALJ/ANG/sid</w:t>
        <w:tab/>
        <w:t xml:space="preserve"> **                                                                     </w:t>
      </w:r>
      <w:r>
        <w:rPr>
          <w:rFonts w:cs="HELVETICA" w:ascii="HELVETICA" w:hAnsi="HELVETICA"/>
          <w:b/>
          <w:sz w:val="36"/>
        </w:rPr>
        <w:t>Mailed 8/3/2000</w:t>
      </w:r>
    </w:p>
    <w:p>
      <w:pPr>
        <w:pStyle w:val="Normal"/>
        <w:suppressAutoHyphens w:val="true"/>
        <w:rPr>
          <w:rFonts w:ascii="HELVETICA" w:hAnsi="HELVETICA" w:cs="HELVETICA"/>
          <w:b/>
          <w:sz w:val="32"/>
        </w:rPr>
      </w:pPr>
      <w:r>
        <w:rPr>
          <w:rFonts w:cs="HELVETICA" w:ascii="HELVETICA" w:hAnsi="HELVETICA"/>
          <w:b/>
          <w:sz w:val="32"/>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148"/>
        <w:gridCol w:w="4410"/>
      </w:tblGrid>
      <w:tr>
        <w:trPr/>
        <w:tc>
          <w:tcPr>
            <w:tcW w:w="514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Investigation into the Functioning of the Wholesale Electric Market and Associated Impact on Retail Rates.</w:t>
            </w:r>
          </w:p>
          <w:p>
            <w:pPr>
              <w:pStyle w:val="Normal"/>
              <w:rPr/>
            </w:pPr>
            <w:r>
              <w:rPr/>
            </w:r>
          </w:p>
        </w:tc>
        <w:tc>
          <w:tcPr>
            <w:tcW w:w="4410" w:type="dxa"/>
            <w:tcBorders/>
          </w:tcPr>
          <w:p>
            <w:pPr>
              <w:pStyle w:val="Normal"/>
              <w:jc w:val="center"/>
              <w:rPr/>
            </w:pPr>
            <w:r>
              <w:rPr/>
              <w:t>FILED</w:t>
            </w:r>
          </w:p>
          <w:p>
            <w:pPr>
              <w:pStyle w:val="Normal"/>
              <w:jc w:val="center"/>
              <w:rPr/>
            </w:pPr>
            <w:r>
              <w:rPr/>
              <w:t>PUBLIC UTILITIES COMMISSION</w:t>
            </w:r>
          </w:p>
          <w:p>
            <w:pPr>
              <w:pStyle w:val="Normal"/>
              <w:jc w:val="center"/>
              <w:rPr/>
            </w:pPr>
            <w:r>
              <w:rPr/>
              <w:t>AUGUST 3, 2000</w:t>
            </w:r>
          </w:p>
          <w:p>
            <w:pPr>
              <w:pStyle w:val="Normal"/>
              <w:jc w:val="center"/>
              <w:rPr/>
            </w:pPr>
            <w:r>
              <w:rPr/>
              <w:t>INVESTIGATION 00-08-002</w:t>
            </w:r>
          </w:p>
          <w:p>
            <w:pPr>
              <w:pStyle w:val="Normal"/>
              <w:jc w:val="center"/>
              <w:rPr/>
            </w:pPr>
            <w:r>
              <w:rPr/>
              <w:t>SAN FRANCISCO OFFICE</w:t>
            </w:r>
          </w:p>
        </w:tc>
      </w:tr>
    </w:tbl>
    <w:p>
      <w:pPr>
        <w:pStyle w:val="sub2"/>
        <w:rPr/>
      </w:pPr>
      <w:r>
        <w:rPr/>
      </w:r>
    </w:p>
    <w:p>
      <w:pPr>
        <w:pStyle w:val="Normal"/>
        <w:rPr/>
      </w:pPr>
      <w:r>
        <w:rPr/>
      </w:r>
    </w:p>
    <w:p>
      <w:pPr>
        <w:pStyle w:val="main"/>
        <w:numPr>
          <w:ilvl w:val="0"/>
          <w:numId w:val="0"/>
        </w:numPr>
        <w:outlineLvl w:val="0"/>
        <w:rPr/>
      </w:pPr>
      <w:r>
        <w:rPr/>
        <w:t xml:space="preserve">ORDER INSTITUTING INVESTIGATION </w:t>
      </w:r>
    </w:p>
    <w:p>
      <w:pPr>
        <w:pStyle w:val="main"/>
        <w:rPr>
          <w:rFonts w:ascii="Century Schoolbook" w:hAnsi="Century Schoolbook" w:cs="Century Schoolbook"/>
          <w:b w:val="false"/>
          <w:sz w:val="22"/>
        </w:rPr>
      </w:pPr>
      <w:r>
        <w:rPr/>
        <w:t xml:space="preserve">INTO THE FUNCTIONING OF THE WHOLESALE ELECTRIC MARKET AND ASSOCIATED IMPACT ON RETAIL </w:t>
      </w:r>
      <w:r>
        <w:rPr>
          <w:caps/>
        </w:rPr>
        <w:t>electric</w:t>
      </w:r>
      <w:r>
        <w:rPr/>
        <w:t xml:space="preserve"> RATES </w:t>
      </w:r>
      <w:r>
        <w:rPr>
          <w:caps/>
        </w:rPr>
        <w:t>in the service territory of san diego gas &amp; Electric COMPANY</w:t>
      </w:r>
    </w:p>
    <w:p>
      <w:pPr>
        <w:pStyle w:val="Normal"/>
        <w:spacing w:lineRule="auto" w:line="360"/>
        <w:rPr>
          <w:rFonts w:ascii="Century Schoolbook" w:hAnsi="Century Schoolbook" w:cs="Century Schoolbook"/>
          <w:b/>
          <w:sz w:val="22"/>
        </w:rPr>
      </w:pPr>
      <w:r>
        <w:rPr>
          <w:rFonts w:cs="Century Schoolbook" w:ascii="Century Schoolbook" w:hAnsi="Century Schoolbook"/>
          <w:b/>
          <w:sz w:val="22"/>
        </w:rPr>
      </w:r>
    </w:p>
    <w:p>
      <w:pPr>
        <w:pStyle w:val="Heading1"/>
        <w:numPr>
          <w:ilvl w:val="0"/>
          <w:numId w:val="0"/>
        </w:numPr>
        <w:ind w:hanging="0" w:start="0"/>
        <w:rPr/>
      </w:pPr>
      <w:r>
        <w:rPr/>
        <w:t>Background</w:t>
      </w:r>
    </w:p>
    <w:p>
      <w:pPr>
        <w:pStyle w:val="standard"/>
        <w:rPr/>
      </w:pPr>
      <w:r>
        <w:rPr/>
        <w:t>By this order, we institute an investigation into the functioning of the wholesale electric market and the associated impact on retail rates in the retail electric service area of San Diego Gas &amp; Electric Company (SDG&amp;E).  A combination of heat waves across the West, a drop in reserves, and significantly increased demand have accompanied much higher wholesale energy costs in the forward and real time energy markets.  The Independent System Operator (ISO) has declared several reliability emergencies this summer, which have led to both voluntary curtailments and rolling outages.  The ISO Board of Governors recently voted to drop its FERC-authorized price cap from $750 per megawatt (MW)</w:t>
      </w:r>
      <w:r>
        <w:rPr>
          <w:rStyle w:val="FootnoteCharacters"/>
        </w:rPr>
        <w:t xml:space="preserve"> </w:t>
      </w:r>
      <w:r>
        <w:rPr>
          <w:rStyle w:val="FootnoteCharacters"/>
          <w:rStyle w:val="FootnoteReference"/>
        </w:rPr>
        <w:footnoteReference w:id="2"/>
      </w:r>
      <w:r>
        <w:rPr/>
        <w:t xml:space="preserve"> to $500 per MW and then to $250 per MW in an effort to control prices in the real time markets in which it purchases energy for resale to schedule coordinators, including the PX.  Because ratepayers in SDG&amp;E’s service territory are no longer subject to a rate freeze, these consumers are exposed directly to these volatile, and very high, wholesale prices. </w:t>
      </w:r>
    </w:p>
    <w:p>
      <w:pPr>
        <w:pStyle w:val="standard"/>
        <w:rPr/>
      </w:pPr>
      <w:r>
        <w:rPr/>
        <w:t xml:space="preserve">By opening this investigation, we provide a forum to explore the causes of high summer wholesale prices that have resulted in increased retail rates of as much as 80% to SDG&amp;E’s ratepayers. </w:t>
      </w:r>
    </w:p>
    <w:p>
      <w:pPr>
        <w:pStyle w:val="standard"/>
        <w:rPr/>
      </w:pPr>
      <w:r>
        <w:rPr/>
        <w:t xml:space="preserve">On July 6, 2000, the Utility Consumers’ Action Network (UCAN) filed and served an Emergency Petition to Modify Decision (D.) 99-05-051 (Petition) issued 14 months ago in this docket.  We address some substantive elements in UCAN’s Petition in an accompanying decision.  This investigation responds to the Petition’s suggestion that an Investigation be opened in November, following the end of the temporary rate freeze advocated in the Petition.  That is too slow to begin addressing the issues driving high bills in San Diego.  This Investigation is also opened in response to the recommendations of UCAN, the Office of Ratepayer Advocates, (ORA), Southern California Edison (Edison), City of San Diego (City), and other parties.  We fully concur that we must investigate the summer price increase, to the extent our jurisdiction allows.  For matters outside our particular jurisdiction, we intend to coordinate and cooperate fully with the Attorney General, Electricity Oversight Board (EOB), and other appropriate state agencies, and to review potential remedies at the Federal Energy Regulatory Commission (FERC). </w:t>
      </w:r>
    </w:p>
    <w:p>
      <w:pPr>
        <w:pStyle w:val="Heading1"/>
        <w:numPr>
          <w:ilvl w:val="0"/>
          <w:numId w:val="0"/>
        </w:numPr>
        <w:ind w:hanging="0" w:start="0"/>
        <w:rPr/>
      </w:pPr>
      <w:r>
        <w:rPr/>
        <w:t>Scope of Proceeding</w:t>
      </w:r>
    </w:p>
    <w:p>
      <w:pPr>
        <w:pStyle w:val="standard"/>
        <w:rPr/>
      </w:pPr>
      <w:r>
        <w:rPr/>
        <w:t>At a minimum, the OII will focus on the following issues to consider the impact of wholesale market problems on retail rates:</w:t>
      </w:r>
    </w:p>
    <w:p>
      <w:pPr>
        <w:pStyle w:val="standard"/>
        <w:spacing w:lineRule="auto" w:line="240"/>
        <w:ind w:hanging="360" w:start="720" w:end="0"/>
        <w:rPr/>
      </w:pPr>
      <w:r>
        <w:rPr/>
        <w:t>a.  What bill payment options should be provided to assist residential and small commercial customers in managing their energy bills?  Should levelized payment plans (LPPs) be the preferred option, with an “opt-out” plan for those customers that so desire?  Should existing customers be moved to a LPP automatically, subject to the opt out?  Should the LPP include both gas and electric costs?  Should it be based on historical usage and prices, or forecast usage and prices, or some combination?  How frequent should true ups be?</w:t>
        <w:br/>
      </w:r>
    </w:p>
    <w:p>
      <w:pPr>
        <w:pStyle w:val="standard"/>
        <w:spacing w:lineRule="auto" w:line="240"/>
        <w:ind w:hanging="360" w:start="720" w:end="0"/>
        <w:rPr/>
      </w:pPr>
      <w:r>
        <w:rPr/>
        <w:t>b.  What rate design and tariff options should be considered to assist retail customers in managing the wholesale rate component in their retail bills?  Are there modifications to Schedule PX that ought to be considered?  Should Schedule PX be based on some average other than monthly (annual, quarterly, forecast?)  If SDG&amp;E continues to accrue overcollections in the TCBA through the sale of electric energy it owns or controls by contract, should a surcredit approach be implemented?  What is the likely prospect of continuing overcollections, based on current activity in futures markets?</w:t>
        <w:br/>
      </w:r>
    </w:p>
    <w:p>
      <w:pPr>
        <w:pStyle w:val="standard"/>
        <w:spacing w:lineRule="auto" w:line="240"/>
        <w:ind w:hanging="360" w:start="720" w:end="0"/>
        <w:rPr/>
      </w:pPr>
      <w:r>
        <w:rPr/>
        <w:t>c.</w:t>
        <w:tab/>
        <w:t>Should SDG&amp;E be authorized to participate in bilateral contracts or other supply procurement activities in addition to the purchase of energy through the CalPX day-ahead, day-of, and block forward markets and the Independent System Operator (ISO) real-time markets?</w:t>
      </w:r>
      <w:r>
        <w:rPr>
          <w:rStyle w:val="FootnoteCharacters"/>
        </w:rPr>
        <w:t xml:space="preserve"> </w:t>
      </w:r>
      <w:r>
        <w:rPr>
          <w:rStyle w:val="FootnoteCharacters"/>
          <w:rStyle w:val="FootnoteReference"/>
        </w:rPr>
        <w:footnoteReference w:id="3"/>
      </w:r>
      <w:r>
        <w:rPr/>
        <w:t xml:space="preserve">  How should the Commission assess the reasonableness of such procurement activities?  Are SDG&amp;E’s purchasing activities serving its customers on just and reasonable terms?  How should such energy supply procurement activity be reflected in retail rates?  Through Schedule PX, or through some other mechanism?</w:t>
        <w:br/>
        <w:t xml:space="preserve"> </w:t>
      </w:r>
    </w:p>
    <w:p>
      <w:pPr>
        <w:pStyle w:val="standard"/>
        <w:spacing w:lineRule="auto" w:line="240"/>
        <w:ind w:hanging="360" w:start="720" w:end="0"/>
        <w:rPr/>
      </w:pPr>
      <w:r>
        <w:rPr/>
        <w:t>d.  What is SDG&amp;E’s obligation to minimize energy costs for its current customers?  Should SDG&amp;E be released from its default provider obligation?  What impact will this have on consumers?</w:t>
      </w:r>
      <w:r>
        <w:rPr>
          <w:rStyle w:val="FootnoteCharacters"/>
          <w:rStyle w:val="FootnoteReference"/>
        </w:rPr>
        <w:footnoteReference w:id="4"/>
      </w:r>
      <w:r>
        <w:rPr/>
        <w:t xml:space="preserve">  What are the alternatives?  Should SDG&amp;E be allowed to act as an aggregator for small customers to bid their load to energy service providers?   Should this include SDG&amp;E’s unregulated affiliate, Sempra Energy Trading?  What affiliate transaction rules would be applicable?</w:t>
        <w:br/>
      </w:r>
    </w:p>
    <w:p>
      <w:pPr>
        <w:pStyle w:val="standard"/>
        <w:spacing w:lineRule="auto" w:line="240"/>
        <w:ind w:hanging="360" w:start="720" w:end="0"/>
        <w:rPr/>
      </w:pPr>
      <w:r>
        <w:rPr/>
        <w:t>e.  Should SDG&amp;E’s shareholder-financed fund for energy assistance of low-income customers be expanded or leveraged?  Should the CARE program be modified to increase the level of ratepayer-provided support for eligible customers?  Should CARE outreach be intensified to assure that all eligible customers are covered?</w:t>
        <w:br/>
      </w:r>
    </w:p>
    <w:p>
      <w:pPr>
        <w:pStyle w:val="standard"/>
        <w:numPr>
          <w:ilvl w:val="0"/>
          <w:numId w:val="3"/>
        </w:numPr>
        <w:spacing w:lineRule="auto" w:line="240"/>
        <w:rPr/>
      </w:pPr>
      <w:r>
        <w:rPr/>
        <w:t>How should the Commission, Attorney General, EOB, ISO, and PX coordinate to investigate wholesale market events, behaviors and irregularities?  How should state/federal jurisdictional concerns be addressed?</w:t>
        <w:br/>
      </w:r>
    </w:p>
    <w:p>
      <w:pPr>
        <w:pStyle w:val="standard"/>
        <w:numPr>
          <w:ilvl w:val="0"/>
          <w:numId w:val="3"/>
        </w:numPr>
        <w:spacing w:lineRule="auto" w:line="240"/>
        <w:rPr/>
      </w:pPr>
      <w:r>
        <w:rPr/>
        <w:t>What are the causes of the price increases?  Are anticompetitive practices causing some of the price increases?  Are there mechanisms the Commission can employ to make ratepayers whole, i.e., to return monies to ratepayers as appropriate?</w:t>
      </w:r>
    </w:p>
    <w:p>
      <w:pPr>
        <w:pStyle w:val="standard"/>
        <w:spacing w:lineRule="auto" w:line="240"/>
        <w:rPr/>
      </w:pPr>
      <w:r>
        <w:rPr/>
      </w:r>
    </w:p>
    <w:p>
      <w:pPr>
        <w:pStyle w:val="standard"/>
        <w:rPr/>
      </w:pPr>
      <w:r>
        <w:rPr/>
        <w:t>We make SDG&amp;E, PG&amp;E, and Edison respondents to this investigation.  We will begin our investigation with hearings in San Diego to develop legislative facts, and there is a distinct possibility that we may convene hearings at which testimony is offered an adjudicative facts (Rule 8(f)).  Respondents’ preliminary responses to the issues identified as Items a through g above should be filed as a part of their Prehearing Conference (PHC) Statements, due 10 days after the effective date of this order.  Parties may also file PHC statements.</w:t>
      </w:r>
    </w:p>
    <w:p>
      <w:pPr>
        <w:pStyle w:val="Heading1"/>
        <w:numPr>
          <w:ilvl w:val="0"/>
          <w:numId w:val="0"/>
        </w:numPr>
        <w:ind w:hanging="0" w:start="0"/>
        <w:rPr/>
      </w:pPr>
      <w:r>
        <w:rPr/>
        <w:t>Preliminary Scoping Memo</w:t>
      </w:r>
    </w:p>
    <w:p>
      <w:pPr>
        <w:pStyle w:val="BodyTextIndent"/>
        <w:spacing w:lineRule="auto" w:line="360"/>
        <w:ind w:firstLine="720" w:start="0" w:end="0"/>
        <w:rPr>
          <w:rFonts w:ascii="PALATINO;Book Antiqua" w:hAnsi="PALATINO;Book Antiqua" w:cs="PALATINO;Book Antiqua"/>
          <w:sz w:val="26"/>
        </w:rPr>
      </w:pPr>
      <w:r>
        <w:rPr>
          <w:rFonts w:cs="PALATINO;Book Antiqua" w:ascii="PALATINO;Book Antiqua" w:hAnsi="PALATINO;Book Antiqua"/>
          <w:sz w:val="26"/>
        </w:rPr>
        <w:t xml:space="preserve">The rules and procedures implementing many of the reforms contained in Senate Bill (SB) 960 are found in Article 2.5 of Practice and Procedure (Rules), which are posted on the Commission’s web site.  Pursuant to Rule 4(a), the rules in Article 2.5 shall apply to this proceeding.  As per the provisions of SB 960, the present investigation is classified as a quasi-legislative proceeding and is expected to require hearings. In the preceding section, we have listed the issues to be considered in this investigation.  This is a preliminary list of issues.  The scope of this investigation may be expanded once we take comments from parties and conduct the initial PHC and formal hearings. </w:t>
      </w:r>
    </w:p>
    <w:p>
      <w:pPr>
        <w:pStyle w:val="standard"/>
        <w:rPr/>
      </w:pPr>
      <w:r>
        <w:rPr/>
        <w:t>Carl W. Wood shall be the assigned Commissioner, and Mark Wetzell shall be the assigned Administrative Law Judge (ALJ).  The assigned Commissioner and ALJ shall convene a PHC to develop a service list for this proceeding and to further delineate issues related to scope and schedule for this proceeding.  The PHC will be held on August 29 in San Diego.  A public participation hearing will conducted on August 30.</w:t>
      </w:r>
    </w:p>
    <w:p>
      <w:pPr>
        <w:pStyle w:val="standard"/>
        <w:rPr/>
      </w:pPr>
      <w:r>
        <w:rPr/>
        <w:t xml:space="preserve">Any person who objects to the categorization of this investigation must file an appeal 10 days after the date of this OII, pursuant to Rule 6.4(a). </w:t>
      </w:r>
    </w:p>
    <w:p>
      <w:pPr>
        <w:pStyle w:val="standard"/>
        <w:rPr/>
      </w:pPr>
      <w:r>
        <w:rPr/>
        <w:t>The temporary service list is attached to this order and shall be used for service until a service list for this proceeding is established at the PHC.  Persons who want to become a “party” to this proceeding shall appear at the PHC, or subsequent hearings, and fill out the “Notice of Party/Non-Party Status” form (appearance form).</w:t>
      </w:r>
    </w:p>
    <w:p>
      <w:pPr>
        <w:pStyle w:val="standard"/>
        <w:rPr/>
      </w:pPr>
      <w:r>
        <w:rPr/>
        <w:t>Those persons who do not want to be parties, and only want notice of the hearings, rulings, proposed decisions, and decisions may either fill out an appearance form at hearing, or they may mail a written request to the Process Office requesting that they be added to the service list for information only.</w:t>
      </w:r>
    </w:p>
    <w:p>
      <w:pPr>
        <w:pStyle w:val="standard"/>
        <w:rPr/>
      </w:pPr>
      <w:r>
        <w:rPr/>
        <w:t>Those persons employed by the State of California who are interested in this proceeding may request that they be added to the “state service” section of the service list either by appearing at the PHC or at the formal hearing and filling out an appearance form, or by mailing a written request for “state service” status to the Process Office.  Parties are obligated to serve all documents they may submit or file in this proceeding on all names appearing on the state service list.</w:t>
      </w:r>
    </w:p>
    <w:p>
      <w:pPr>
        <w:pStyle w:val="standard"/>
        <w:rPr/>
      </w:pPr>
      <w:r>
        <w:rPr/>
        <w:t xml:space="preserve">The Process Office shall develop an initial service list based on the appearances at the first PHC.  This initial service list shall be posted on the Commission’s web site, </w:t>
      </w:r>
      <w:hyperlink r:id="rId2">
        <w:r>
          <w:rPr>
            <w:rStyle w:val="Hyperlink"/>
            <w:u w:val="none"/>
          </w:rPr>
          <w:t>www.cpuc.ca.gov</w:t>
        </w:r>
      </w:hyperlink>
      <w:r>
        <w:rPr/>
        <w:t>, as soon as is practicable.</w:t>
      </w:r>
    </w:p>
    <w:p>
      <w:pPr>
        <w:pStyle w:val="standard"/>
        <w:rPr/>
      </w:pPr>
      <w:r>
        <w:rPr/>
        <w:t>Any party interested in participating in this investigation who is unfamiliar with the Commission’s procedures should contact the Commission’s Public Advisor Office in Los Angeles (213) 576-7055, or in San Francisco (415) 703-2074 for assistance.</w:t>
      </w:r>
    </w:p>
    <w:p>
      <w:pPr>
        <w:pStyle w:val="standard"/>
        <w:rPr/>
      </w:pPr>
      <w:r>
        <w:rPr/>
        <w:t>Consistent with Rule 6(e), we expect this proceeding to be concluded within 18 months.</w:t>
      </w:r>
    </w:p>
    <w:p>
      <w:pPr>
        <w:pStyle w:val="Heading1"/>
        <w:numPr>
          <w:ilvl w:val="0"/>
          <w:numId w:val="0"/>
        </w:numPr>
        <w:ind w:hanging="0" w:start="0"/>
        <w:rPr/>
      </w:pPr>
      <w:r>
        <w:rPr/>
        <w:t>Ex Parte Communications</w:t>
      </w:r>
    </w:p>
    <w:p>
      <w:pPr>
        <w:pStyle w:val="standard"/>
        <w:rPr/>
      </w:pPr>
      <w:r>
        <w:rPr/>
        <w:t>This proceeding is subject to Rule 7, which specifies standards for engaging in ex parte communications and the reporting of such communications.  Pursuant to Rules 7(a)(3) and 7(d), ex parte communications will be allowed in this proceeding without any restrictions or reporting requirements unless and until the Commission modifies this determination of category.</w:t>
      </w:r>
    </w:p>
    <w:p>
      <w:pPr>
        <w:pStyle w:val="standard"/>
        <w:keepNext w:val="true"/>
        <w:rPr/>
      </w:pPr>
      <w:r>
        <w:rPr>
          <w:b/>
        </w:rPr>
        <w:t>IT IS ORDERED</w:t>
      </w:r>
      <w:r>
        <w:rPr/>
        <w:t xml:space="preserve"> that:</w:t>
      </w:r>
    </w:p>
    <w:p>
      <w:pPr>
        <w:pStyle w:val="num1"/>
        <w:numPr>
          <w:ilvl w:val="0"/>
          <w:numId w:val="4"/>
        </w:numPr>
        <w:rPr/>
      </w:pPr>
      <w:r>
        <w:rPr/>
        <w:t>An investigation is instituted on the Commission’s own motion into the functioning of the wholesale electric markets and associated impact on electric rates.</w:t>
      </w:r>
    </w:p>
    <w:p>
      <w:pPr>
        <w:pStyle w:val="num1"/>
        <w:numPr>
          <w:ilvl w:val="0"/>
          <w:numId w:val="4"/>
        </w:numPr>
        <w:rPr/>
      </w:pPr>
      <w:r>
        <w:rPr/>
        <w:t>San Diego Gas and Electric Company (SDG&amp;E), Pacific Gas and Electric Company (PG&amp;E), and Southern California Edison Company (Edison) are made respondents to this proceeding and are ordered to provide preliminary responses on the issues listed in this investigation in Prehearing Conference (PHC) statements to be filed and served 10 days from the effective date of this order.</w:t>
      </w:r>
    </w:p>
    <w:p>
      <w:pPr>
        <w:pStyle w:val="num1"/>
        <w:numPr>
          <w:ilvl w:val="0"/>
          <w:numId w:val="4"/>
        </w:numPr>
        <w:rPr/>
      </w:pPr>
      <w:r>
        <w:rPr/>
        <w:t>ORA shall, and other parties may file and serve PHC statements to provide comment on this investigation.  These PHC statements shall be filed and served 10 days from the effective date of this decision.</w:t>
      </w:r>
    </w:p>
    <w:p>
      <w:pPr>
        <w:pStyle w:val="num1"/>
        <w:numPr>
          <w:ilvl w:val="0"/>
          <w:numId w:val="4"/>
        </w:numPr>
        <w:rPr/>
      </w:pPr>
      <w:r>
        <w:rPr/>
        <w:t>The Executive Director shall cause this Order Instituting Investigation (OII) to be served on the respondents and on the service list in Application 99-01-016 et al.</w:t>
      </w:r>
    </w:p>
    <w:p>
      <w:pPr>
        <w:pStyle w:val="num1"/>
        <w:numPr>
          <w:ilvl w:val="0"/>
          <w:numId w:val="4"/>
        </w:numPr>
        <w:rPr/>
      </w:pPr>
      <w:r>
        <w:rPr/>
        <w:t>The temporary service list is attached and shall be used for service of all pleadings until a service list for this proceeding is established.  The official service list for this proceeding shall be created by the Process Office and posted on the Commission’s web site (</w:t>
      </w:r>
      <w:hyperlink r:id="rId3">
        <w:r>
          <w:rPr>
            <w:rStyle w:val="Hyperlink"/>
            <w:u w:val="none"/>
          </w:rPr>
          <w:t>www.cpuc.ca.gov</w:t>
        </w:r>
      </w:hyperlink>
      <w:r>
        <w:rPr/>
        <w:t>) as soon as practicable after the first PHC.  Parties may also obtain the service list by contacting the Commission’s Process Office at (415) 703-2021.</w:t>
      </w:r>
    </w:p>
    <w:p>
      <w:pPr>
        <w:pStyle w:val="num1"/>
        <w:numPr>
          <w:ilvl w:val="0"/>
          <w:numId w:val="4"/>
        </w:numPr>
        <w:rPr/>
      </w:pPr>
      <w:r>
        <w:rPr/>
        <w:t>This rulemaking is categorized as quasi-legislative as that term is defined in Rule 5(d) of the Commission’s Rules of Practice and Procedure.</w:t>
      </w:r>
    </w:p>
    <w:p>
      <w:pPr>
        <w:pStyle w:val="num1"/>
        <w:numPr>
          <w:ilvl w:val="0"/>
          <w:numId w:val="4"/>
        </w:numPr>
        <w:suppressAutoHyphens w:val="false"/>
        <w:rPr/>
      </w:pPr>
      <w:r>
        <w:rPr/>
        <w:t xml:space="preserve">A PHC shall be convened on Tuesday, August 29, 2000, at 10:00 a.m., in the San Diego Convention Center, Room 13, 111 West Harbor Drive, San Diego California.  </w:t>
      </w:r>
    </w:p>
    <w:p>
      <w:pPr>
        <w:pStyle w:val="num1"/>
        <w:numPr>
          <w:ilvl w:val="0"/>
          <w:numId w:val="4"/>
        </w:numPr>
        <w:suppressAutoHyphens w:val="false"/>
        <w:rPr/>
      </w:pPr>
      <w:r>
        <w:rPr/>
        <w:t>A public participation hearing shall be convened on Wednesday, August 30, 2000, in the San Diego Convention Center, Room 14AB, 111 West Harbor Drive, San Diego California.  Public participation hearing sessions will be from 10:00 a.m. to 12:00 noon, from 2:00 p.m. to 4:00 p.m., and from 7:00 p.m. to 9:00 p.m.  SDG&amp;E shall, after conferring with the Commission’s Public Advisor on the format and content of notice, provide notice of the public participation hearing by mail to each of its electric customers.  The notice should be mailed not later than August 16, 2000 to provide reasonable assurance that customers have at least 10 days’ notice of the public participation hearing.  In addition, SDG&amp;E shall provide notice of the public participation hearing by publication in newspapers of general circulation in its service territory and on its web site on not less than 10 days’ notice.</w:t>
      </w:r>
    </w:p>
    <w:p>
      <w:pPr>
        <w:pStyle w:val="num1"/>
        <w:numPr>
          <w:ilvl w:val="0"/>
          <w:numId w:val="4"/>
        </w:numPr>
        <w:rPr/>
      </w:pPr>
      <w:r>
        <w:rPr/>
        <w:t>Persons interested in having their names added to the service list for this proceeding shall follow the procedures described in this order.</w:t>
      </w:r>
    </w:p>
    <w:p>
      <w:pPr>
        <w:pStyle w:val="standard"/>
        <w:rPr/>
      </w:pPr>
      <w:r>
        <w:rPr/>
        <w:t>This order is effective today.</w:t>
      </w:r>
    </w:p>
    <w:p>
      <w:pPr>
        <w:pStyle w:val="standard"/>
        <w:rPr/>
      </w:pPr>
      <w:r>
        <w:rPr/>
        <w:t xml:space="preserve">Dated August 3, 2000, at San Francisco, California. </w:t>
      </w:r>
    </w:p>
    <w:p>
      <w:pPr>
        <w:pStyle w:val="standard"/>
        <w:rPr/>
      </w:pPr>
      <w:r>
        <w:rPr/>
      </w:r>
    </w:p>
    <w:p>
      <w:pPr>
        <w:pStyle w:val="standard"/>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JOSIAH L. NEEPER</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 xml:space="preserve">            Commissioners</w:t>
      </w:r>
      <w:r>
        <w:br w:type="page"/>
      </w:r>
    </w:p>
    <w:p>
      <w:pPr>
        <w:pStyle w:val="standard"/>
        <w:spacing w:lineRule="auto" w:line="240"/>
        <w:rPr/>
      </w:pPr>
      <w:r>
        <w:rPr/>
        <w:t>See Formal Files for Attachment.</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99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76240</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In the ancillary services market, there are price caps for both capacity (megawatt) and imbalance energy (megawatt-hour).  The same cap applies to both capacity and imbalance energy.</w:t>
      </w:r>
    </w:p>
  </w:footnote>
  <w:footnote w:id="3">
    <w:p>
      <w:pPr>
        <w:pStyle w:val="FootnoteText"/>
        <w:spacing w:before="0" w:after="240"/>
        <w:rPr/>
      </w:pPr>
      <w:r>
        <w:rPr>
          <w:rStyle w:val="FootnoteCharacters"/>
        </w:rPr>
        <w:footnoteRef/>
      </w:r>
      <w:r>
        <w:rPr/>
        <w:t xml:space="preserve">  </w:t>
      </w:r>
      <w:r>
        <w:rPr/>
        <w:t>We believe this approach is allowed.  Section 355.1 states:  “The commission may investigate issues associated with multiple qualified exchanges.  If the commission determines that allowing electrical corporations to purchase from multiple qualified exchanges is in the public interest, the commission shall submit its findings and recommendations to the Legislature on or before June 1, 2001.  Prior to June 1, 2001, the commission may not implement the part of any decision authorizing electrical corporations to purchase from exchanges other than the Power Exchange. That portion of any decision of the commission adopted prior to January 1, 2001, but after June 1, 2000, authorizing electrical corporations to purchase from multiple qualified exchanges, may not be implemented.”</w:t>
      </w:r>
    </w:p>
  </w:footnote>
  <w:footnote w:id="4">
    <w:p>
      <w:pPr>
        <w:pStyle w:val="FootnoteText"/>
        <w:spacing w:before="0" w:after="240"/>
        <w:rPr/>
      </w:pPr>
      <w:r>
        <w:rPr>
          <w:rStyle w:val="FootnoteCharacters"/>
        </w:rPr>
        <w:footnoteRef/>
      </w:r>
      <w:r>
        <w:rPr/>
        <w:t xml:space="preserve">  </w:t>
      </w:r>
      <w:r>
        <w:rPr/>
        <w:t>Section 365.5 states that:  “Nothing in this chapter shall prevent the commission from exercising its authority to investigate a process for certification and regulation of the rates, charges, terms, and conditions of default service.  If the commission determines that a process for certification and regulation is in the public interest, the commission shall submit its findings and recommendations to the Legislature for approval.”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I.00-08-002  ALJ/ANG/sid **</w:t>
      <w:tab/>
      <w:tab/>
    </w:r>
  </w:p>
  <w:p>
    <w:pPr>
      <w:pStyle w:val="Header"/>
      <w:rPr>
        <w:rFonts w:ascii="HELVETICA" w:hAnsi="HELVETICA" w:cs="HELVETICA"/>
        <w:b/>
        <w:sz w:val="24"/>
      </w:rPr>
    </w:pPr>
    <w:r>
      <w:rPr>
        <w:rFonts w:cs="HELVETICA" w:ascii="HELVETICA" w:hAnsi="HELVETICA"/>
        <w:b/>
        <w:sz w:val="24"/>
      </w:rPr>
    </w:r>
  </w:p>
  <w:p>
    <w:pPr>
      <w:pStyle w:val="Header"/>
      <w:rPr>
        <w:rFonts w:ascii="HELVETICA" w:hAnsi="HELVETICA" w:cs="HELVETICA"/>
        <w:b/>
        <w:sz w:val="24"/>
      </w:rPr>
    </w:pPr>
    <w:r>
      <w:rPr>
        <w:rFonts w:cs="HELVETICA" w:ascii="HELVETICA" w:hAnsi="HELVETICA"/>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6"/>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3"/>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46" w:start="2246"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7"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7" w:end="1440"/>
      <w:outlineLvl w:val="8"/>
    </w:pPr>
    <w:rPr>
      <w:rFonts w:ascii="Arial" w:hAnsi="Arial" w:cs="Arial"/>
      <w:b/>
      <w:i/>
      <w:sz w:val="18"/>
    </w:rPr>
  </w:style>
  <w:style w:type="character" w:styleId="WW8Num1z0">
    <w:name w:val="WW8Num1z0"/>
    <w:qFormat/>
    <w:rPr>
      <w:rFonts w:ascii="PALATINO;Book Antiqua" w:hAnsi="PALATINO;Book Antiqua" w:cs="PALATINO;Book Antiqua"/>
      <w:sz w:val="26"/>
    </w:rPr>
  </w:style>
  <w:style w:type="character" w:styleId="WW8Num4z1">
    <w:name w:val="WW8Num4z1"/>
    <w:qFormat/>
    <w:rPr>
      <w:b/>
      <w:i w:val="false"/>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5"/>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BodyTextIndent">
    <w:name w:val="Body Text Indent"/>
    <w:basedOn w:val="Normal"/>
    <w:pPr>
      <w:ind w:hanging="0" w:start="720" w:end="0"/>
    </w:pPr>
    <w:rPr>
      <w:rFonts w:ascii="Century Schoolbook" w:hAnsi="Century Schoolbook" w:cs="Century Schoolbook"/>
      <w:sz w:val="22"/>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puc.ca.gov/" TargetMode="External"/><Relationship Id="rId3" Type="http://schemas.openxmlformats.org/officeDocument/2006/relationships/hyperlink" Target="http://www.cpuc.ca.gov/"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2000-08-04T14:52:00Z</dcterms:created>
  <dc:creator>Fannie Sid</dc:creator>
  <dc:description/>
  <dc:language>en-CA</dc:language>
  <cp:lastModifiedBy>Bruno Gaillard</cp:lastModifiedBy>
  <cp:lastPrinted>2000-08-04T10:21:00Z</cp:lastPrinted>
  <dcterms:modified xsi:type="dcterms:W3CDTF">2000-08-04T14:52:00Z</dcterms:modified>
  <cp:revision>2</cp:revision>
  <dc:subject/>
  <dc:title>Decision 			</dc:title>
</cp:coreProperties>
</file>