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UNITED STATES OF AMERICA</w:t>
      </w:r>
    </w:p>
    <w:p>
      <w:pPr>
        <w:pStyle w:val="Normal"/>
        <w:jc w:val="center"/>
        <w:rPr>
          <w:b/>
          <w:sz w:val="24"/>
        </w:rPr>
      </w:pPr>
      <w:r>
        <w:rPr>
          <w:b/>
          <w:sz w:val="24"/>
        </w:rPr>
        <w:t>BEFORE THE</w:t>
      </w:r>
    </w:p>
    <w:p>
      <w:pPr>
        <w:pStyle w:val="Heading1"/>
        <w:ind w:hanging="0" w:start="0"/>
        <w:jc w:val="center"/>
        <w:rPr>
          <w:b/>
        </w:rPr>
      </w:pPr>
      <w:r>
        <w:rPr>
          <w:b/>
        </w:rPr>
        <w:t>FEDERAL ENERGY REGULATORY COMMISSION</w:t>
      </w:r>
    </w:p>
    <w:p>
      <w:pPr>
        <w:pStyle w:val="Normal"/>
        <w:rPr>
          <w:b/>
        </w:rPr>
      </w:pPr>
      <w:r>
        <w:rPr>
          <w:b/>
        </w:rPr>
      </w:r>
    </w:p>
    <w:p>
      <w:pPr>
        <w:pStyle w:val="Normal"/>
        <w:rPr>
          <w:sz w:val="24"/>
        </w:rPr>
      </w:pPr>
      <w:r>
        <w:rPr>
          <w:sz w:val="24"/>
        </w:rPr>
      </w:r>
    </w:p>
    <w:p>
      <w:pPr>
        <w:pStyle w:val="Heading1"/>
        <w:tabs>
          <w:tab w:val="clear" w:pos="720"/>
          <w:tab w:val="left" w:pos="5040" w:leader="none"/>
        </w:tabs>
        <w:ind w:hanging="0" w:start="0"/>
        <w:rPr>
          <w:b/>
        </w:rPr>
      </w:pPr>
      <w:r>
        <w:rPr>
          <w:b/>
        </w:rPr>
        <w:t xml:space="preserve">San Diego Gas &amp; Electric Company )            </w:t>
        <w:tab/>
        <w:t>Docket No.________</w:t>
      </w:r>
    </w:p>
    <w:p>
      <w:pPr>
        <w:pStyle w:val="Normal"/>
        <w:rPr>
          <w:b/>
          <w:sz w:val="24"/>
        </w:rPr>
      </w:pPr>
      <w:r>
        <w:rPr>
          <w:b/>
          <w:sz w:val="24"/>
        </w:rPr>
      </w:r>
    </w:p>
    <w:p>
      <w:pPr>
        <w:pStyle w:val="Normal"/>
        <w:rPr>
          <w:sz w:val="24"/>
        </w:rPr>
      </w:pPr>
      <w:r>
        <w:rPr>
          <w:sz w:val="24"/>
        </w:rPr>
      </w:r>
    </w:p>
    <w:p>
      <w:pPr>
        <w:pStyle w:val="Heading2"/>
        <w:ind w:hanging="0" w:start="0"/>
        <w:rPr>
          <w:b/>
        </w:rPr>
      </w:pPr>
      <w:r>
        <w:rPr>
          <w:b/>
        </w:rPr>
        <w:t>REQUEST FOR EMERGENCY RELIEF</w:t>
      </w:r>
    </w:p>
    <w:p>
      <w:pPr>
        <w:pStyle w:val="Normal"/>
        <w:rPr>
          <w:b/>
          <w:sz w:val="24"/>
        </w:rPr>
      </w:pPr>
      <w:r>
        <w:rPr>
          <w:b/>
          <w:sz w:val="24"/>
        </w:rPr>
      </w:r>
    </w:p>
    <w:p>
      <w:pPr>
        <w:pStyle w:val="BodyText"/>
        <w:rPr/>
      </w:pPr>
      <w:r>
        <w:rPr/>
        <w:tab/>
        <w:t xml:space="preserve">Pursuant to Rule 207 (a)(2) and (5), San Diego Gas &amp; Electric Company (SDG&amp;E) hereby respectfully requests that the Federal Energy Regulatory Commission (Commission) immediately order:  (1) that price caps for short-term releases of capacity for service to the California border and to points of interconnection between interstate pipelines and California local distribution companies, be re-imposed effective immediately and kept in effect until March 31, 2001; and, (2) that sellers be required to state separately the transportation and commodity components of the bundled rate for bundled sales at these points so that the cap can be enforced on these transactions.  Alternatively, the cap could be enforced on such bundled sales through a mechanism which caps bundled sales at these points at 150% of the sum of a reported average commodity sales price plus the as-billed rate for interstate transportation. </w:t>
      </w:r>
    </w:p>
    <w:p>
      <w:pPr>
        <w:pStyle w:val="BodyText"/>
        <w:rPr/>
      </w:pPr>
      <w:r>
        <w:rPr/>
        <w:tab/>
        <w:t xml:space="preserve">SDG&amp;E is a combined gas and electric company serving 1.2 million electric and 600,000 gas customers in San Diego County. SDG&amp;E is a subsidiary of Sempra Energy and an affiliate of Southern California Gas Company. </w:t>
      </w:r>
    </w:p>
    <w:p>
      <w:pPr>
        <w:pStyle w:val="Normal"/>
        <w:spacing w:lineRule="auto" w:line="480"/>
        <w:ind w:firstLine="720" w:end="0"/>
        <w:rPr>
          <w:sz w:val="24"/>
        </w:rPr>
      </w:pPr>
      <w:r>
        <w:rPr>
          <w:sz w:val="24"/>
        </w:rPr>
        <w:t>In support of its request herein, SDG&amp;E states the following:</w:t>
      </w:r>
    </w:p>
    <w:p>
      <w:pPr>
        <w:pStyle w:val="Normal"/>
        <w:numPr>
          <w:ilvl w:val="0"/>
          <w:numId w:val="3"/>
        </w:numPr>
        <w:tabs>
          <w:tab w:val="left" w:pos="720" w:leader="none"/>
        </w:tabs>
        <w:spacing w:lineRule="auto" w:line="480"/>
        <w:ind w:hanging="0" w:start="0" w:end="0"/>
        <w:rPr>
          <w:sz w:val="24"/>
        </w:rPr>
      </w:pPr>
      <w:r>
        <w:rPr>
          <w:sz w:val="24"/>
        </w:rPr>
        <w:t>The Commission has provided in its rules for the filing of emergency petitions to “terminate a controversy or remove uncertainty.”  (Rule 207(a)(2) and for “any other action which is in the discretion of the Commission and for which this chapter prescribes no other form of pleading.” (Rule 207(a)(5).)   It is clear that the Commission has the authority to establish rates for short-term releases of capacity and to govern sales for resale and transportation of gas in interstate commerce. Section 1(b) of the Natural Gas Act, 15 USC Section 717(c).  Absent immediate action by the Commission granting the limited relief requested herein, an emergency declaration may be necessary in the immediate future to avoid substantial and irreparable harm to the gas and electric consumers in the State of California.</w:t>
        <w:tab/>
        <w:tab/>
      </w:r>
    </w:p>
    <w:p>
      <w:pPr>
        <w:pStyle w:val="Normal"/>
        <w:numPr>
          <w:ilvl w:val="0"/>
          <w:numId w:val="3"/>
        </w:numPr>
        <w:tabs>
          <w:tab w:val="left" w:pos="720" w:leader="none"/>
          <w:tab w:val="left" w:pos="1170" w:leader="none"/>
        </w:tabs>
        <w:spacing w:lineRule="auto" w:line="480"/>
        <w:ind w:hanging="0" w:start="90" w:end="0"/>
        <w:rPr>
          <w:sz w:val="24"/>
        </w:rPr>
      </w:pPr>
      <w:r>
        <w:rPr>
          <w:sz w:val="24"/>
        </w:rPr>
        <w:t xml:space="preserve">The market for interstate pipeline capacity in California is showing significant distortions. The California-Arizona border spot price for natural gas commodity has recently risen from less than $6 per MMBtu in November to over $50 per MMBtu, yet spot gas prices in the Southwestern U.S. basins remain less than $10 per MMBtu.  Since the as-billed rates “ABRs” of the interstate pipelines serving California are well under $1 per MMBtu (between 31 cents and 67 cents), it is evident and incontrovertible that the real cost of interstate pipeline capacity serving California has risen to many multiples of the pipelines’ ABRs.  As of today, California stands at the precipice of a natural gas price crisis of a magnitude similar to the wholesale electricity price crisis California has been experiencing. An opportunity exists to avoid the repetition of calamitous events in the California electricity market that have deeply injured California consumers, but swift action must be taken to avoid the natural gas price crisis now looming. </w:t>
      </w:r>
    </w:p>
    <w:p>
      <w:pPr>
        <w:pStyle w:val="Normal"/>
        <w:numPr>
          <w:ilvl w:val="0"/>
          <w:numId w:val="2"/>
        </w:numPr>
        <w:tabs>
          <w:tab w:val="clear" w:pos="720"/>
        </w:tabs>
        <w:spacing w:lineRule="auto" w:line="480"/>
        <w:ind w:hanging="0" w:start="270" w:end="0"/>
        <w:rPr>
          <w:sz w:val="24"/>
        </w:rPr>
      </w:pPr>
      <w:r>
        <w:rPr>
          <w:sz w:val="24"/>
        </w:rPr>
        <w:t xml:space="preserve">As described above, it is clear that the natural gas transportation and sales market to California is not workably competitive.  This lack of workable competition has resulted in rates for natural gas several times the cost of gas in other areas of the country.  Of equal importance, by disconnecting California’s natural gas market from the rest of the United States, this circumstance is destroying the dully integrated national natural gas market that had previously developed.  </w:t>
      </w:r>
    </w:p>
    <w:p>
      <w:pPr>
        <w:pStyle w:val="Normal"/>
        <w:numPr>
          <w:ilvl w:val="0"/>
          <w:numId w:val="2"/>
        </w:numPr>
        <w:tabs>
          <w:tab w:val="left" w:pos="720" w:leader="none"/>
        </w:tabs>
        <w:spacing w:lineRule="auto" w:line="480"/>
        <w:ind w:hanging="0" w:start="90" w:end="0"/>
        <w:rPr>
          <w:sz w:val="24"/>
        </w:rPr>
      </w:pPr>
      <w:r>
        <w:rPr>
          <w:sz w:val="24"/>
        </w:rPr>
        <w:t>SDG&amp;E believes that the Commission must take immediate action to correct this situation during the expected “colder than normal” winter season that we are entering.  SDG&amp;E believes that two actions by the Commission are critical:</w:t>
      </w:r>
    </w:p>
    <w:p>
      <w:pPr>
        <w:pStyle w:val="BodyTextIndent"/>
        <w:ind w:firstLine="630" w:start="90" w:end="0"/>
        <w:rPr/>
      </w:pPr>
      <w:r>
        <w:rPr/>
        <w:t>(a) The Commission must immediately suspend the ability of shippers to charge above the as-billed rate for the release of capacity, or pipeline sales, of a short-term nature to the California market; and,</w:t>
      </w:r>
    </w:p>
    <w:p>
      <w:pPr>
        <w:pStyle w:val="BodyTextIndent2"/>
        <w:ind w:firstLine="720" w:start="0" w:end="0"/>
        <w:rPr/>
      </w:pPr>
      <w:r>
        <w:rPr/>
        <w:t>(b) Sellers must be required to state separately the transportation and commodity components of the bundled rate for bundled sales at the California border and to points of interconnection between interstate pipelines and California local distribution companies so that the cap can be enforced on these transactions.  Alternatively, the cap could be enforced on such bundled sales through a mechanism which caps bundled sales at these points at 150% of the sum of a reported average commodity sales price (a national average as reported in Gas Daily or a similar publication or the reported commodity sales price in the Permian, San Juan, Anadarko, Rockies and Western Canadian Sedimentary basins) plus the as-billed rate for interstate transportation.  This alternative mechanism would assure that producers and others selling into California can receive a premium over other markets but not such a premium as to constitute an unlawful exercise of market power.</w:t>
        <w:tab/>
      </w:r>
    </w:p>
    <w:p>
      <w:pPr>
        <w:pStyle w:val="Normal"/>
        <w:numPr>
          <w:ilvl w:val="0"/>
          <w:numId w:val="2"/>
        </w:numPr>
        <w:tabs>
          <w:tab w:val="clear" w:pos="720"/>
        </w:tabs>
        <w:spacing w:lineRule="auto" w:line="480"/>
        <w:ind w:firstLine="30" w:start="0" w:end="0"/>
        <w:rPr>
          <w:sz w:val="24"/>
        </w:rPr>
      </w:pPr>
      <w:r>
        <w:rPr>
          <w:sz w:val="24"/>
        </w:rPr>
        <w:t xml:space="preserve">The Commission cannot regulate “first sales” which are defined as “any sale of any volume of natural gas”… “(ii) to any local distribution company; (iii) to any person for use by such person” and which generally precedes any other sale.  The Natural Gas Policy Act clearly provides that sales by affiliates of pipelines and other marketers do not constitute such first sales. These sellers rely on the Commission’s blanket sales authority to make such sales.  Section 284.402(a) of the Commission’s regulations provides that: “Any person who is not an interstate pipeline is granted a blanket Certificate to make sales for resale at a negotiated rate in interstate commerce of any category of gas that is subject to the Commission’s Natural Gas Act jurisdiction.” The Commission is free at any time to restrict such blanket sales certificates to protect the public convenience and necessity.  The vast majority of capacity to California is held by “second sellers”. </w:t>
      </w:r>
    </w:p>
    <w:p>
      <w:pPr>
        <w:pStyle w:val="Normal"/>
        <w:spacing w:lineRule="auto" w:line="480"/>
        <w:ind w:firstLine="720" w:end="0"/>
        <w:rPr>
          <w:sz w:val="24"/>
        </w:rPr>
      </w:pPr>
      <w:r>
        <w:rPr>
          <w:sz w:val="24"/>
        </w:rPr>
        <w:t xml:space="preserve">In Order No. 636-A, mimeo at 73-76, the Commission rejected arguments that it did not have jurisdiction over capacity brokering or assignment of capacity by local distribution companies or replacement shippers.  The Commission noted:  The Natural Gas Act does not limit its jurisdiction to the actual physical transportation or delivery of natural gas.  The Commission further noted that a narrow construction of its jurisdiction would create a regulatory gap and a significant dilution of the Commission’s regulatory authority over the pipelines themselves.  (Mimeo at 74.)  </w:t>
      </w:r>
    </w:p>
    <w:p>
      <w:pPr>
        <w:pStyle w:val="Normal"/>
        <w:spacing w:lineRule="auto" w:line="480"/>
        <w:ind w:firstLine="720" w:end="0"/>
        <w:rPr>
          <w:sz w:val="24"/>
        </w:rPr>
      </w:pPr>
      <w:r>
        <w:rPr>
          <w:sz w:val="24"/>
        </w:rPr>
        <w:t xml:space="preserve">Finally, in Order Nos. 637, in discussing the removal of price caps for short-term releases, the Commission recognized that its action constituted a significant regulatory change that should be subject to ongoing review by the Commission and the industry.  The Commission stated “there is no substitute for reviewing the actual results of a regulatory action.  The two-year waiver will provide an opportunity for such a review after sufficient information is obtained to validly assess the results and determine whether changes or modifications may be needed.”  FERC Stats &amp; Regs, Regulations Preambles, ¶31,091 at 31,279-280   As this request for emergency relief demonstrates, actual experience warrants </w:t>
      </w:r>
    </w:p>
    <w:p>
      <w:pPr>
        <w:pStyle w:val="Normal"/>
        <w:spacing w:lineRule="auto" w:line="480"/>
        <w:rPr>
          <w:sz w:val="24"/>
        </w:rPr>
      </w:pPr>
      <w:r>
        <w:rPr>
          <w:sz w:val="24"/>
        </w:rPr>
      </w:r>
    </w:p>
    <w:p>
      <w:pPr>
        <w:pStyle w:val="BodyText"/>
        <w:tabs>
          <w:tab w:val="clear" w:pos="720"/>
        </w:tabs>
        <w:jc w:val="end"/>
        <w:rPr/>
      </w:pPr>
      <w:r>
        <w:rPr/>
        <w:t>ERRATA</w:t>
      </w:r>
    </w:p>
    <w:p>
      <w:pPr>
        <w:pStyle w:val="BodyText"/>
        <w:tabs>
          <w:tab w:val="clear" w:pos="720"/>
        </w:tabs>
        <w:rPr/>
      </w:pPr>
      <w:r>
        <w:rPr/>
        <w:t xml:space="preserve">an immediate reimposition of price caps in the secondary market to avoid the very distortions the removal was intended to address.  </w:t>
      </w:r>
    </w:p>
    <w:p>
      <w:pPr>
        <w:pStyle w:val="Normal"/>
        <w:numPr>
          <w:ilvl w:val="0"/>
          <w:numId w:val="2"/>
        </w:numPr>
        <w:tabs>
          <w:tab w:val="clear" w:pos="720"/>
        </w:tabs>
        <w:spacing w:lineRule="auto" w:line="480"/>
        <w:ind w:firstLine="30" w:start="0" w:end="0"/>
        <w:rPr>
          <w:sz w:val="24"/>
        </w:rPr>
      </w:pPr>
      <w:r>
        <w:rPr>
          <w:sz w:val="24"/>
        </w:rPr>
        <w:t xml:space="preserve">The Commission should also monitor capacity release transaction to insure that capacity is not released to providers to avoid the restrictions ordered herein, following imposition of the relief requested. </w:t>
      </w:r>
    </w:p>
    <w:p>
      <w:pPr>
        <w:pStyle w:val="Normal"/>
        <w:numPr>
          <w:ilvl w:val="0"/>
          <w:numId w:val="2"/>
        </w:numPr>
        <w:tabs>
          <w:tab w:val="left" w:pos="720" w:leader="none"/>
        </w:tabs>
        <w:spacing w:lineRule="auto" w:line="480"/>
        <w:ind w:hanging="0" w:start="0" w:end="0"/>
        <w:rPr>
          <w:sz w:val="24"/>
        </w:rPr>
      </w:pPr>
      <w:r>
        <w:rPr>
          <w:sz w:val="24"/>
        </w:rPr>
        <w:t xml:space="preserve">For the foregoing reasons, SDG&amp;E urgently requests the Commission to order the limited relief requested to provide some small protection for California consumers from market power abusers at times when consumers are least able to protect themselves. </w:t>
      </w:r>
    </w:p>
    <w:p>
      <w:pPr>
        <w:pStyle w:val="BodyText"/>
        <w:tabs>
          <w:tab w:val="clear" w:pos="720"/>
        </w:tabs>
        <w:ind w:firstLine="720" w:end="0"/>
        <w:rPr/>
      </w:pPr>
      <w:r>
        <w:rPr/>
        <w:t>WHEREFORE, in view of the foregoing, San Diego Gas &amp; Electric Company urges the Commission to grant the requested relief.</w:t>
      </w:r>
    </w:p>
    <w:p>
      <w:pPr>
        <w:pStyle w:val="Normal"/>
        <w:spacing w:lineRule="auto" w:line="480"/>
        <w:ind w:start="720" w:end="0"/>
        <w:rPr>
          <w:sz w:val="24"/>
        </w:rPr>
      </w:pPr>
      <w:r>
        <w:rPr>
          <w:sz w:val="24"/>
        </w:rPr>
      </w:r>
    </w:p>
    <w:p>
      <w:pPr>
        <w:pStyle w:val="Normal"/>
        <w:spacing w:lineRule="auto" w:line="480"/>
        <w:ind w:start="4320" w:end="0"/>
        <w:rPr>
          <w:sz w:val="24"/>
        </w:rPr>
      </w:pPr>
      <w:r>
        <w:rPr>
          <w:sz w:val="24"/>
        </w:rPr>
        <w:t>Respectfully submitted,</w:t>
      </w:r>
    </w:p>
    <w:p>
      <w:pPr>
        <w:pStyle w:val="Normal"/>
        <w:spacing w:lineRule="auto" w:line="480"/>
        <w:ind w:start="4320" w:end="0"/>
        <w:rPr>
          <w:sz w:val="24"/>
        </w:rPr>
      </w:pPr>
      <w:r>
        <w:rPr>
          <w:sz w:val="24"/>
        </w:rPr>
      </w:r>
    </w:p>
    <w:p>
      <w:pPr>
        <w:pStyle w:val="Normal"/>
        <w:ind w:start="4320" w:end="0"/>
        <w:rPr>
          <w:sz w:val="24"/>
        </w:rPr>
      </w:pPr>
      <w:r>
        <w:rPr>
          <w:sz w:val="24"/>
        </w:rPr>
        <w:t>____________________________________</w:t>
      </w:r>
    </w:p>
    <w:p>
      <w:pPr>
        <w:pStyle w:val="Heading3"/>
        <w:rPr/>
      </w:pPr>
      <w:r>
        <w:rPr/>
        <w:t>David J. Gilmore</w:t>
      </w:r>
    </w:p>
    <w:p>
      <w:pPr>
        <w:pStyle w:val="Heading3"/>
        <w:rPr/>
      </w:pPr>
      <w:r>
        <w:rPr/>
        <w:t>David B. Follett</w:t>
      </w:r>
    </w:p>
    <w:p>
      <w:pPr>
        <w:pStyle w:val="Normal"/>
        <w:ind w:start="4320" w:end="0"/>
        <w:rPr>
          <w:sz w:val="24"/>
        </w:rPr>
      </w:pPr>
      <w:r>
        <w:rPr>
          <w:sz w:val="24"/>
        </w:rPr>
        <w:t>Georgetta Baker</w:t>
      </w:r>
    </w:p>
    <w:p>
      <w:pPr>
        <w:pStyle w:val="Normal"/>
        <w:ind w:start="4320" w:end="0"/>
        <w:rPr>
          <w:sz w:val="24"/>
        </w:rPr>
      </w:pPr>
      <w:r>
        <w:rPr>
          <w:sz w:val="24"/>
        </w:rPr>
        <w:t>Sempra Energy</w:t>
      </w:r>
    </w:p>
    <w:p>
      <w:pPr>
        <w:pStyle w:val="Normal"/>
        <w:ind w:start="4320" w:end="0"/>
        <w:rPr>
          <w:sz w:val="24"/>
        </w:rPr>
      </w:pPr>
      <w:r>
        <w:rPr>
          <w:sz w:val="24"/>
        </w:rPr>
        <w:t>101 Ash Street, HQ-13</w:t>
      </w:r>
    </w:p>
    <w:p>
      <w:pPr>
        <w:pStyle w:val="Normal"/>
        <w:ind w:start="4320" w:end="0"/>
        <w:rPr>
          <w:sz w:val="24"/>
        </w:rPr>
      </w:pPr>
      <w:r>
        <w:rPr>
          <w:sz w:val="24"/>
        </w:rPr>
        <w:t>San Diego, CA 92101-3017</w:t>
      </w:r>
    </w:p>
    <w:p>
      <w:pPr>
        <w:pStyle w:val="Normal"/>
        <w:ind w:start="4320" w:end="0"/>
        <w:rPr>
          <w:sz w:val="24"/>
        </w:rPr>
      </w:pPr>
      <w:r>
        <w:rPr>
          <w:sz w:val="24"/>
        </w:rPr>
        <w:t>(213) 244-2945</w:t>
      </w:r>
    </w:p>
    <w:p>
      <w:pPr>
        <w:pStyle w:val="Normal"/>
        <w:rPr>
          <w:sz w:val="24"/>
        </w:rPr>
      </w:pPr>
      <w:r>
        <w:rPr>
          <w:sz w:val="24"/>
        </w:rPr>
      </w:r>
    </w:p>
    <w:p>
      <w:pPr>
        <w:pStyle w:val="Normal"/>
        <w:rPr>
          <w:sz w:val="24"/>
        </w:rPr>
      </w:pPr>
      <w:r>
        <w:rPr>
          <w:sz w:val="24"/>
        </w:rPr>
        <w:t xml:space="preserve">  </w:t>
      </w:r>
      <w:r>
        <w:rPr>
          <w:sz w:val="24"/>
        </w:rPr>
        <w:t>December 7, 2000</w:t>
        <w:tab/>
        <w:tab/>
        <w:tab/>
        <w:tab/>
        <w:t xml:space="preserve">Attorneys for </w:t>
      </w:r>
    </w:p>
    <w:p>
      <w:pPr>
        <w:pStyle w:val="Normal"/>
        <w:ind w:start="4320" w:end="0"/>
        <w:rPr>
          <w:sz w:val="24"/>
        </w:rPr>
      </w:pPr>
      <w:r>
        <w:rPr>
          <w:sz w:val="24"/>
        </w:rPr>
        <w:t>San Diego Gas &amp; Electric Company</w:t>
      </w:r>
    </w:p>
    <w:p>
      <w:pPr>
        <w:pStyle w:val="Normal"/>
        <w:spacing w:lineRule="auto" w:line="480"/>
        <w:ind w:start="4320" w:end="0"/>
        <w:rPr>
          <w:sz w:val="24"/>
        </w:rPr>
      </w:pPr>
      <w:r>
        <w:rPr>
          <w:sz w:val="24"/>
        </w:rPr>
      </w:r>
    </w:p>
    <w:sectPr>
      <w:footerReference w:type="default" r:id="rId2"/>
      <w:footerReference w:type="first" r:id="rId3"/>
      <w:type w:val="nextPage"/>
      <w:pgSz w:w="12240" w:h="15840"/>
      <w:pgMar w:left="171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543550" cy="293370"/>
              <wp:effectExtent l="0" t="0" r="0" b="0"/>
              <wp:wrapSquare wrapText="bothSides"/>
              <wp:docPr id="1" name="Frame1"/>
              <a:graphic xmlns:a="http://schemas.openxmlformats.org/drawingml/2006/main">
                <a:graphicData uri="http://schemas.microsoft.com/office/word/2010/wordprocessingShape">
                  <wps:wsp>
                    <wps:cNvSpPr txBox="1"/>
                    <wps:spPr>
                      <a:xfrm>
                        <a:off x="0" y="0"/>
                        <a:ext cx="5543550" cy="29337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6.5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600"/>
        </w:tabs>
        <w:ind w:start="600" w:hanging="360"/>
      </w:pPr>
      <w:rPr/>
    </w:lvl>
  </w:abstractNum>
  <w:abstractNum w:abstractNumId="3">
    <w:lvl w:ilvl="0">
      <w:start w:val="1"/>
      <w:numFmt w:val="decimal"/>
      <w:lvlText w:val="(%1)"/>
      <w:lvlJc w:val="start"/>
      <w:pPr>
        <w:tabs>
          <w:tab w:val="num" w:pos="750"/>
        </w:tabs>
        <w:ind w:start="750" w:hanging="45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43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lineRule="auto" w:line="4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270" w:end="0"/>
    </w:pPr>
    <w:rPr>
      <w:sz w:val="24"/>
    </w:rPr>
  </w:style>
  <w:style w:type="paragraph" w:styleId="BodyTextIndent2">
    <w:name w:val="Body Text Indent 2"/>
    <w:basedOn w:val="Normal"/>
    <w:qFormat/>
    <w:pPr>
      <w:spacing w:lineRule="auto" w:line="480"/>
      <w:ind w:firstLine="30" w:start="270" w:end="0"/>
    </w:pPr>
    <w:rPr>
      <w:sz w:val="24"/>
    </w:rPr>
  </w:style>
  <w:style w:type="paragraph" w:styleId="BodyTextIndent3">
    <w:name w:val="Body Text Indent 3"/>
    <w:basedOn w:val="Normal"/>
    <w:qFormat/>
    <w:pPr>
      <w:ind w:hanging="0" w:start="29"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2000-12-11T13:24:00Z</dcterms:created>
  <dc:creator>DLH</dc:creator>
  <dc:description/>
  <dc:language>en-CA</dc:language>
  <cp:lastModifiedBy>Nicholas W. Fels</cp:lastModifiedBy>
  <cp:lastPrinted>2000-12-07T15:16:00Z</cp:lastPrinted>
  <dcterms:modified xsi:type="dcterms:W3CDTF">2000-12-11T13:24:00Z</dcterms:modified>
  <cp:revision>2</cp:revision>
  <dc:subject/>
  <dc:title>                              United States of America</dc:title>
</cp:coreProperties>
</file>