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start"/>
        <w:rPr/>
      </w:pPr>
      <w:r>
        <w:rPr>
          <w:rFonts w:eastAsia="Courier New" w:cs="Courier New" w:ascii="Courier New" w:hAnsi="Courier New"/>
          <w:color w:val="000000"/>
          <w:sz w:val="22"/>
          <w:szCs w:val="22"/>
        </w:rPr>
        <w:tab/>
        <w:tab/>
        <w:tab/>
        <w:tab/>
        <w:tab/>
        <w:tab/>
        <w:tab/>
        <w:tab/>
        <w:t>September 22, 2000</w:t>
      </w:r>
      <w:r>
        <mc:AlternateContent>
          <mc:Choice Requires="wps">
            <w:drawing>
              <wp:anchor behindDoc="0" distT="0" distB="0" distL="0" distR="0" simplePos="0" locked="0" layoutInCell="0" allowOverlap="1" relativeHeight="2">
                <wp:simplePos x="0" y="0"/>
                <wp:positionH relativeFrom="page">
                  <wp:posOffset>685800</wp:posOffset>
                </wp:positionH>
                <wp:positionV relativeFrom="page">
                  <wp:posOffset>64135</wp:posOffset>
                </wp:positionV>
                <wp:extent cx="1809115" cy="175260"/>
                <wp:effectExtent l="0" t="0" r="0" b="0"/>
                <wp:wrapSquare wrapText="bothSides"/>
                <wp:docPr id="1" name="Object0"/>
                <a:graphic xmlns:a="http://schemas.openxmlformats.org/drawingml/2006/main">
                  <a:graphicData uri="http://schemas.microsoft.com/office/word/2010/wordprocessingShape">
                    <wps:wsp>
                      <wps:cNvSpPr txBox="1"/>
                      <wps:spPr>
                        <a:xfrm>
                          <a:off x="0" y="0"/>
                          <a:ext cx="1809115" cy="175260"/>
                        </a:xfrm>
                        <a:prstGeom prst="rect"/>
                        <a:solidFill>
                          <a:srgbClr val="FFFFFF"/>
                        </a:solidFill>
                      </wps:spPr>
                      <wps:txbx>
                        <w:txbxContent>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SULLIVAN &amp; CROMWELL</w:t>
                            </w:r>
                          </w:p>
                        </w:txbxContent>
                      </wps:txbx>
                      <wps:bodyPr anchor="t" lIns="0" tIns="0" rIns="0" bIns="0">
                        <a:spAutoFit/>
                      </wps:bodyPr>
                    </wps:wsp>
                  </a:graphicData>
                </a:graphic>
              </wp:anchor>
            </w:drawing>
          </mc:Choice>
          <mc:Fallback>
            <w:pict>
              <v:rect style="position:absolute;rotation:-0;width:142.45pt;height:13.8pt;mso-wrap-distance-left:0pt;mso-wrap-distance-right:0pt;mso-wrap-distance-top:0pt;mso-wrap-distance-bottom:0pt;margin-top:5.05pt;mso-position-vertical-relative:page;margin-left:54pt;mso-position-horizontal-relative:page">
                <v:textbox>
                  <w:txbxContent>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SULLIVAN &amp; CROMWELL</w:t>
                      </w:r>
                    </w:p>
                  </w:txbxContent>
                </v:textbox>
                <w10:wrap type="topAndBottom"/>
              </v:rect>
            </w:pict>
          </mc:Fallback>
        </mc:AlternateContent>
      </w:r>
    </w:p>
    <w:p>
      <w:pPr>
        <w:pStyle w:val="Normal"/>
        <w:bidi w:val="0"/>
        <w:spacing w:lineRule="auto" w:line="240" w:before="0" w:after="0"/>
        <w:ind w:hanging="0" w:start="0" w:end="0"/>
        <w:jc w:val="start"/>
        <w:rPr>
          <w:rFonts w:ascii="Courier New" w:hAnsi="Courier New" w:eastAsia="Courier New" w:cs="Courier New"/>
          <w:color w:val="000000"/>
          <w:sz w:val="22"/>
          <w:szCs w:val="22"/>
        </w:rPr>
      </w:pPr>
      <w:r>
        <w:rPr/>
      </w:r>
    </w:p>
    <w:p>
      <w:pPr>
        <w:pStyle w:val="Normal"/>
        <w:bidi w:val="0"/>
        <w:spacing w:lineRule="auto" w:line="240" w:before="0" w:after="0"/>
        <w:ind w:firstLine="3600" w:start="0" w:end="0"/>
        <w:jc w:val="start"/>
        <w:rPr>
          <w:rFonts w:ascii="Courier New" w:hAnsi="Courier New" w:eastAsia="Courier New" w:cs="Courier New"/>
          <w:color w:val="000000"/>
          <w:sz w:val="22"/>
          <w:szCs w:val="22"/>
        </w:rPr>
      </w:pPr>
      <w:r>
        <w:rPr/>
      </w:r>
    </w:p>
    <w:p>
      <w:pPr>
        <w:pStyle w:val="Normal"/>
        <w:bidi w:val="0"/>
        <w:spacing w:lineRule="auto" w:line="240" w:before="0" w:after="0"/>
        <w:ind w:hanging="0" w:start="0" w:end="0"/>
        <w:jc w:val="start"/>
        <w:rPr>
          <w:rFonts w:ascii="Courier New" w:hAnsi="Courier New" w:eastAsia="Courier New" w:cs="Courier New"/>
          <w:color w:val="000000"/>
          <w:sz w:val="22"/>
          <w:szCs w:val="22"/>
        </w:rPr>
      </w:pPr>
      <w:r>
        <w:rPr/>
      </w:r>
    </w:p>
    <w:p>
      <w:pPr>
        <w:pStyle w:val="Normal"/>
        <w:bidi w:val="0"/>
        <w:spacing w:lineRule="auto" w:line="240" w:before="0" w:after="0"/>
        <w:ind w:hanging="0" w:start="0" w:end="0"/>
        <w:jc w:val="start"/>
        <w:rPr>
          <w:rFonts w:ascii="Courier New" w:hAnsi="Courier New" w:eastAsia="Courier New" w:cs="Courier New"/>
          <w:color w:val="000000"/>
          <w:sz w:val="22"/>
          <w:szCs w:val="22"/>
          <w:u w:val="single"/>
        </w:rPr>
      </w:pPr>
      <w:r>
        <w:rPr>
          <w:rFonts w:eastAsia="Courier New" w:cs="Courier New" w:ascii="Courier New" w:hAnsi="Courier New"/>
          <w:color w:val="000000"/>
          <w:sz w:val="22"/>
          <w:szCs w:val="22"/>
          <w:u w:val="single"/>
        </w:rPr>
        <w:t>Via Facsimile</w:t>
      </w:r>
    </w:p>
    <w:p>
      <w:pPr>
        <w:pStyle w:val="Normal"/>
        <w:bidi w:val="0"/>
        <w:spacing w:lineRule="auto" w:line="240" w:before="0" w:after="0"/>
        <w:ind w:hanging="0" w:start="0" w:end="0"/>
        <w:jc w:val="start"/>
        <w:rPr>
          <w:rFonts w:ascii="Courier New" w:hAnsi="Courier New" w:eastAsia="Courier New" w:cs="Courier New"/>
          <w:color w:val="000000"/>
          <w:sz w:val="22"/>
          <w:szCs w:val="22"/>
        </w:rPr>
      </w:pPr>
      <w:r>
        <w:rPr/>
      </w:r>
    </w:p>
    <w:tbl>
      <w:tblPr>
        <w:tblW w:w="8626" w:type="dxa"/>
        <w:jc w:val="start"/>
        <w:tblInd w:w="0" w:type="dxa"/>
        <w:tblLayout w:type="fixed"/>
        <w:tblCellMar>
          <w:top w:w="55" w:type="dxa"/>
          <w:start w:w="55" w:type="dxa"/>
          <w:bottom w:w="55" w:type="dxa"/>
          <w:end w:w="55" w:type="dxa"/>
        </w:tblCellMar>
      </w:tblPr>
      <w:tblGrid>
        <w:gridCol w:w="2016"/>
        <w:gridCol w:w="6610"/>
      </w:tblGrid>
      <w:tr>
        <w:trPr/>
        <w:tc>
          <w:tcPr>
            <w:tcW w:w="2016" w:type="dxa"/>
            <w:tcBorders>
              <w:top w:val="single" w:sz="2" w:space="0" w:color="000000"/>
              <w:start w:val="single" w:sz="2" w:space="0" w:color="000000"/>
            </w:tcBorders>
            <w:shd w:fill="FFFFFF" w:val="clear"/>
          </w:tcPr>
          <w:p>
            <w:pPr>
              <w:pStyle w:val="TableContents"/>
              <w:bidi w:val="0"/>
              <w:spacing w:lineRule="auto" w:line="240" w:before="0" w:after="0"/>
              <w:jc w:val="start"/>
              <w:rPr>
                <w:rFonts w:ascii="Courier New" w:hAnsi="Courier New" w:eastAsia="Courier New" w:cs="Courier New"/>
                <w:color w:val="000000"/>
                <w:sz w:val="22"/>
                <w:szCs w:val="22"/>
              </w:rPr>
            </w:pPr>
            <w:r>
              <w:rPr>
                <w:rFonts w:eastAsia="Courier New" w:cs="Courier New" w:ascii="Courier New" w:hAnsi="Courier New"/>
                <w:color w:val="000000"/>
                <w:sz w:val="22"/>
                <w:szCs w:val="22"/>
              </w:rPr>
              <w:t>MEMORANDUM TO:</w:t>
            </w:r>
          </w:p>
        </w:tc>
        <w:tc>
          <w:tcPr>
            <w:tcW w:w="661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start"/>
              <w:rPr>
                <w:rFonts w:ascii="Courier New" w:hAnsi="Courier New" w:eastAsia="Courier New" w:cs="Courier New"/>
                <w:color w:val="000000"/>
                <w:sz w:val="22"/>
                <w:szCs w:val="22"/>
              </w:rPr>
            </w:pPr>
            <w:r>
              <w:rPr>
                <w:rFonts w:eastAsia="Courier New" w:cs="Courier New" w:ascii="Courier New" w:hAnsi="Courier New"/>
                <w:color w:val="000000"/>
                <w:sz w:val="22"/>
                <w:szCs w:val="22"/>
              </w:rPr>
              <w:t xml:space="preserve">Justin Boyd </w:t>
            </w:r>
          </w:p>
          <w:p>
            <w:pPr>
              <w:pStyle w:val="TableContents"/>
              <w:bidi w:val="0"/>
              <w:spacing w:lineRule="auto" w:line="240" w:before="0" w:after="0"/>
              <w:jc w:val="start"/>
              <w:rPr>
                <w:rFonts w:ascii="Courier New" w:hAnsi="Courier New" w:eastAsia="Courier New" w:cs="Courier New"/>
                <w:color w:val="000000"/>
                <w:sz w:val="22"/>
                <w:szCs w:val="22"/>
              </w:rPr>
            </w:pPr>
            <w:r>
              <w:rPr>
                <w:rFonts w:eastAsia="Courier New" w:cs="Courier New" w:ascii="Courier New" w:hAnsi="Courier New"/>
                <w:color w:val="000000"/>
                <w:sz w:val="22"/>
                <w:szCs w:val="22"/>
              </w:rPr>
              <w:t>(Enron)</w:t>
            </w:r>
          </w:p>
        </w:tc>
      </w:tr>
      <w:tr>
        <w:trPr/>
        <w:tc>
          <w:tcPr>
            <w:tcW w:w="2016" w:type="dxa"/>
            <w:tcBorders>
              <w:top w:val="single" w:sz="2" w:space="0" w:color="000000"/>
              <w:start w:val="single" w:sz="2" w:space="0" w:color="000000"/>
            </w:tcBorders>
            <w:shd w:fill="FFFFFF" w:val="clear"/>
          </w:tcPr>
          <w:p>
            <w:pPr>
              <w:pStyle w:val="TableContents"/>
              <w:bidi w:val="0"/>
              <w:spacing w:lineRule="auto" w:line="240" w:before="0" w:after="0"/>
              <w:jc w:val="end"/>
              <w:rPr>
                <w:rFonts w:ascii="Courier New" w:hAnsi="Courier New" w:eastAsia="Courier New" w:cs="Courier New"/>
                <w:color w:val="000000"/>
                <w:sz w:val="22"/>
                <w:szCs w:val="22"/>
              </w:rPr>
            </w:pPr>
            <w:r>
              <w:rPr>
                <w:rFonts w:eastAsia="Courier New" w:cs="Courier New" w:ascii="Courier New" w:hAnsi="Courier New"/>
                <w:color w:val="000000"/>
                <w:sz w:val="22"/>
                <w:szCs w:val="22"/>
              </w:rPr>
              <w:t>FROM:</w:t>
            </w:r>
          </w:p>
        </w:tc>
        <w:tc>
          <w:tcPr>
            <w:tcW w:w="661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start"/>
              <w:rPr>
                <w:rFonts w:ascii="Courier New" w:hAnsi="Courier New" w:eastAsia="Courier New" w:cs="Courier New"/>
                <w:color w:val="000000"/>
                <w:sz w:val="22"/>
                <w:szCs w:val="22"/>
              </w:rPr>
            </w:pPr>
            <w:r>
              <w:rPr>
                <w:rFonts w:eastAsia="Courier New" w:cs="Courier New" w:ascii="Courier New" w:hAnsi="Courier New"/>
                <w:color w:val="000000"/>
                <w:sz w:val="22"/>
                <w:szCs w:val="22"/>
              </w:rPr>
              <w:t>Lauren Teigland-Hunt</w:t>
            </w:r>
          </w:p>
        </w:tc>
      </w:tr>
      <w:tr>
        <w:trPr/>
        <w:tc>
          <w:tcPr>
            <w:tcW w:w="2016" w:type="dxa"/>
            <w:tcBorders>
              <w:top w:val="single" w:sz="2" w:space="0" w:color="000000"/>
              <w:start w:val="single" w:sz="2" w:space="0" w:color="000000"/>
              <w:bottom w:val="single" w:sz="2" w:space="0" w:color="000000"/>
            </w:tcBorders>
            <w:shd w:fill="FFFFFF" w:val="clear"/>
          </w:tcPr>
          <w:p>
            <w:pPr>
              <w:pStyle w:val="TableContents"/>
              <w:bidi w:val="0"/>
              <w:spacing w:lineRule="auto" w:line="240" w:before="0" w:after="0"/>
              <w:jc w:val="end"/>
              <w:rPr>
                <w:rFonts w:ascii="Courier New" w:hAnsi="Courier New" w:eastAsia="Courier New" w:cs="Courier New"/>
                <w:color w:val="000000"/>
                <w:sz w:val="22"/>
                <w:szCs w:val="22"/>
              </w:rPr>
            </w:pPr>
            <w:r>
              <w:rPr>
                <w:rFonts w:eastAsia="Courier New" w:cs="Courier New" w:ascii="Courier New" w:hAnsi="Courier New"/>
                <w:color w:val="000000"/>
                <w:sz w:val="22"/>
                <w:szCs w:val="22"/>
              </w:rPr>
              <w:t>RE:</w:t>
            </w:r>
          </w:p>
        </w:tc>
        <w:tc>
          <w:tcPr>
            <w:tcW w:w="6610" w:type="dxa"/>
            <w:tcBorders>
              <w:top w:val="single" w:sz="2" w:space="0" w:color="000000"/>
              <w:start w:val="single" w:sz="2" w:space="0" w:color="000000"/>
              <w:bottom w:val="single" w:sz="2" w:space="0" w:color="000000"/>
              <w:end w:val="single" w:sz="2" w:space="0" w:color="000000"/>
            </w:tcBorders>
            <w:shd w:fill="FFFFFF" w:val="clear"/>
          </w:tcPr>
          <w:p>
            <w:pPr>
              <w:pStyle w:val="TableContents"/>
              <w:bidi w:val="0"/>
              <w:spacing w:lineRule="auto" w:line="240" w:before="0" w:after="0"/>
              <w:jc w:val="start"/>
              <w:rPr>
                <w:rFonts w:ascii="Courier New" w:hAnsi="Courier New" w:eastAsia="Courier New" w:cs="Courier New"/>
                <w:color w:val="000000"/>
                <w:sz w:val="22"/>
                <w:szCs w:val="22"/>
                <w:u w:val="single"/>
              </w:rPr>
            </w:pPr>
            <w:r>
              <w:rPr>
                <w:rFonts w:eastAsia="Courier New" w:cs="Courier New" w:ascii="Courier New" w:hAnsi="Courier New"/>
                <w:color w:val="000000"/>
                <w:sz w:val="22"/>
                <w:szCs w:val="22"/>
                <w:u w:val="single"/>
              </w:rPr>
              <w:t>Compliance with CFTC Limited Marketing Order</w:t>
            </w:r>
          </w:p>
        </w:tc>
      </w:tr>
    </w:tbl>
    <w:p>
      <w:pPr>
        <w:pStyle w:val="Normal"/>
        <w:bidi w:val="0"/>
        <w:spacing w:lineRule="auto" w:line="240" w:before="0" w:after="0"/>
        <w:ind w:hanging="0" w:start="0" w:end="0"/>
        <w:jc w:val="start"/>
        <w:rPr>
          <w:rFonts w:ascii="Courier New" w:hAnsi="Courier New" w:eastAsia="Courier New" w:cs="Courier New"/>
          <w:color w:val="000000"/>
          <w:sz w:val="22"/>
          <w:szCs w:val="22"/>
        </w:rPr>
      </w:pPr>
      <w:r>
        <w:rPr/>
      </w:r>
    </w:p>
    <w:p>
      <w:pPr>
        <w:pStyle w:val="Normal"/>
        <w:bidi w:val="0"/>
        <w:spacing w:lineRule="auto" w:line="480" w:before="0" w:after="0"/>
        <w:ind w:firstLine="1440" w:start="0" w:end="0"/>
        <w:jc w:val="start"/>
        <w:rPr/>
      </w:pPr>
      <w:r>
        <w:rPr>
          <w:rFonts w:eastAsia="Courier New" w:cs="Courier New" w:ascii="Courier New" w:hAnsi="Courier New"/>
          <w:color w:val="000000"/>
          <w:sz w:val="22"/>
          <w:szCs w:val="22"/>
        </w:rPr>
        <w:t>This memorandum is intended to summarize the requirements of the “Limited Marketing Order” of the Commodity Futures Trading Commission (“CFTC”)</w:t>
      </w:r>
      <w:r>
        <w:rPr>
          <w:rFonts w:eastAsia="Courier New" w:cs="Courier New" w:ascii="Courier New" w:hAnsi="Courier New"/>
          <w:color w:val="000000"/>
          <w:sz w:val="22"/>
          <w:szCs w:val="22"/>
        </w:rPr>
        <w:t xml:space="preserve"> as it applies to Enron Metals Limited in its dealings with U.S. customers pursuant to the exemption relief which Enron Metals has been granted under CFTC’s Part 30 rules (the “30.10 exemption”)</w:t>
      </w:r>
      <w:r>
        <w:rPr>
          <w:rFonts w:eastAsia="Courier New" w:cs="Courier New" w:ascii="Courier New" w:hAnsi="Courier New"/>
          <w:color w:val="000000"/>
          <w:sz w:val="22"/>
          <w:szCs w:val="22"/>
        </w:rPr>
        <w:t>.</w:t>
      </w:r>
      <w:r>
        <w:rPr>
          <w:rFonts w:eastAsia="Courier New" w:cs="Courier New" w:ascii="Courier New" w:hAnsi="Courier New"/>
          <w:color w:val="000000"/>
          <w:sz w:val="22"/>
          <w:szCs w:val="22"/>
        </w:rPr>
        <w:tab/>
        <w:tab/>
      </w:r>
      <w:r>
        <w:rPr>
          <w:rFonts w:eastAsia="Courier New" w:cs="Courier New" w:ascii="Courier New" w:hAnsi="Courier New"/>
          <w:color w:val="000000"/>
          <w:sz w:val="22"/>
          <w:szCs w:val="22"/>
        </w:rPr>
        <w:tab/>
      </w:r>
    </w:p>
    <w:p>
      <w:pPr>
        <w:pStyle w:val="Normal"/>
        <w:bidi w:val="0"/>
        <w:spacing w:lineRule="auto" w:line="480" w:before="0" w:after="0"/>
        <w:ind w:firstLine="1440" w:start="0" w:end="0"/>
        <w:jc w:val="start"/>
        <w:rPr/>
      </w:pPr>
      <w:r>
        <w:rPr>
          <w:rFonts w:eastAsia="Courier New" w:cs="Courier New" w:ascii="Courier New" w:hAnsi="Courier New"/>
          <w:color w:val="000000"/>
          <w:sz w:val="22"/>
          <w:szCs w:val="22"/>
        </w:rPr>
        <w:t xml:space="preserve">Firms which have received 30.10 exemption relief are permitted to engage in limited solicitation activities with U.S. customers, including telephone calls, mailings (either printed or on computer diskettes), or advertising in media, such as radio, television or newspapers (including the transmission of advertising via computer screens), provided such activities originate from points outside the United States.  In addition, a 30.10 exempt firm may use a U.S. registered introducing broker as a sales agent in the United States.  The 30.10 exemption does not by itself, however, permit foreign firms to engage in marketing activities from a U.S. location, </w:t>
      </w:r>
      <w:r>
        <w:rPr>
          <w:rFonts w:eastAsia="Courier New" w:cs="Courier New" w:ascii="Courier New" w:hAnsi="Courier New"/>
          <w:color w:val="000000"/>
          <w:sz w:val="22"/>
          <w:szCs w:val="22"/>
          <w:u w:val="single"/>
        </w:rPr>
        <w:t>i</w:t>
      </w:r>
      <w:r>
        <w:rPr>
          <w:rFonts w:eastAsia="Courier New" w:cs="Courier New" w:ascii="Courier New" w:hAnsi="Courier New"/>
          <w:color w:val="000000"/>
          <w:sz w:val="22"/>
          <w:szCs w:val="22"/>
        </w:rPr>
        <w:t>.</w:t>
      </w:r>
      <w:r>
        <w:rPr>
          <w:rFonts w:eastAsia="Courier New" w:cs="Courier New" w:ascii="Courier New" w:hAnsi="Courier New"/>
          <w:color w:val="000000"/>
          <w:sz w:val="22"/>
          <w:szCs w:val="22"/>
          <w:u w:val="single"/>
        </w:rPr>
        <w:t>e</w:t>
      </w:r>
      <w:r>
        <w:rPr>
          <w:rFonts w:eastAsia="Courier New" w:cs="Courier New" w:ascii="Courier New" w:hAnsi="Courier New"/>
          <w:color w:val="000000"/>
          <w:sz w:val="22"/>
          <w:szCs w:val="22"/>
        </w:rPr>
        <w:t xml:space="preserve">., 30.10 exempt firms are generally prohibited from engaging in promotional events or marketing calls within the United States.  </w:t>
      </w:r>
    </w:p>
    <w:p>
      <w:pPr>
        <w:pStyle w:val="Normal"/>
        <w:bidi w:val="0"/>
        <w:spacing w:lineRule="auto" w:line="480" w:before="0" w:after="0"/>
        <w:ind w:firstLine="1440" w:start="0" w:end="0"/>
        <w:jc w:val="start"/>
        <w:rPr>
          <w:rFonts w:ascii="Courier New" w:hAnsi="Courier New" w:eastAsia="Courier New" w:cs="Courier New"/>
          <w:color w:val="000000"/>
          <w:sz w:val="22"/>
          <w:szCs w:val="22"/>
        </w:rPr>
      </w:pPr>
      <w:r>
        <w:rPr>
          <w:rFonts w:eastAsia="Courier New" w:cs="Courier New" w:ascii="Courier New" w:hAnsi="Courier New"/>
          <w:color w:val="000000"/>
          <w:sz w:val="22"/>
          <w:szCs w:val="22"/>
        </w:rPr>
        <w:t>A CFTC order in 1992 extended the ability of firms that have received the 30.10 exemption to undertake limited marketing activities in the United States in certain circumstances.  Should Enron Metals choose to comply with the requirements of this order, Enron Metals would be permitted to conduct limited marketing activities in the United States for up to 30 business days in the aggregate in any calendar year.  In order to take advantage of the relief provided by this CFTC order, Enron Metals must make an individual application in writing to SFA and sign a “Marketing Order Undertaking”, which is included in the SFA Rulebook as Schedule 1 to Appendix 36, agreeing to comply with terms and conditions laid down by SFA for all marketing activities in the United States.  A list of persons with whom such limited marketing activities may then be undertaken is included in the SFA Rulebook as Schedule 3 to Appendix 36.  An application to engage in limited marketing conduct pursuant to this CFTC order should be made to Michael Parker, Senior Policy Advisor at SFA, at least one week prior to the first marketing activity being carried out in the United States.</w:t>
      </w:r>
    </w:p>
    <w:p>
      <w:pPr>
        <w:pStyle w:val="Normal"/>
        <w:bidi w:val="0"/>
        <w:spacing w:lineRule="auto" w:line="480" w:before="0" w:after="0"/>
        <w:ind w:hanging="0" w:start="0" w:end="0"/>
        <w:jc w:val="start"/>
        <w:rPr>
          <w:rFonts w:ascii="Courier New" w:hAnsi="Courier New" w:eastAsia="Courier New" w:cs="Courier New"/>
          <w:color w:val="000000"/>
          <w:sz w:val="22"/>
          <w:szCs w:val="22"/>
        </w:rPr>
      </w:pPr>
      <w:r>
        <w:rPr/>
      </w:r>
    </w:p>
    <w:p>
      <w:pPr>
        <w:pStyle w:val="Normal"/>
        <w:bidi w:val="0"/>
        <w:spacing w:lineRule="auto" w:line="480" w:before="0" w:after="0"/>
        <w:ind w:firstLine="720" w:start="0" w:end="0"/>
        <w:jc w:val="start"/>
        <w:rPr>
          <w:rFonts w:ascii="Courier New" w:hAnsi="Courier New" w:eastAsia="Courier New" w:cs="Courier New"/>
          <w:color w:val="000000"/>
          <w:sz w:val="22"/>
          <w:szCs w:val="22"/>
        </w:rPr>
      </w:pPr>
      <w:r>
        <w:rPr>
          <w:rFonts w:eastAsia="Courier New" w:cs="Courier New" w:ascii="Courier New" w:hAnsi="Courier New"/>
          <w:color w:val="000000"/>
          <w:sz w:val="22"/>
          <w:szCs w:val="22"/>
        </w:rPr>
        <w:t>We hope this information is useful to you in the development of Enron Metals’s business with U.S. customers.  If you have any questions or require further information regarding requirements for dealings with U.S. customers, please do not hesitate to contact me at 212-558-4948.</w:t>
      </w:r>
    </w:p>
    <w:p>
      <w:pPr>
        <w:pStyle w:val="Normal"/>
        <w:bidi w:val="0"/>
        <w:spacing w:lineRule="auto" w:line="240" w:before="0" w:after="0"/>
        <w:ind w:firstLine="5760" w:start="0" w:end="0"/>
        <w:jc w:val="start"/>
        <w:rPr>
          <w:rFonts w:ascii="Courier New" w:hAnsi="Courier New" w:eastAsia="Courier New" w:cs="Courier New"/>
          <w:color w:val="000000"/>
          <w:sz w:val="22"/>
          <w:szCs w:val="22"/>
        </w:rPr>
      </w:pPr>
      <w:r>
        <w:rPr>
          <w:rFonts w:eastAsia="Courier New" w:cs="Courier New" w:ascii="Courier New" w:hAnsi="Courier New"/>
          <w:color w:val="000000"/>
          <w:sz w:val="22"/>
          <w:szCs w:val="22"/>
        </w:rPr>
        <w:t>L.A.T.</w:t>
      </w:r>
    </w:p>
    <w:sectPr>
      <w:type w:val="nextPage"/>
      <w:pgSz w:w="12240" w:h="15840"/>
      <w:pgMar w:left="2160" w:right="1440" w:gutter="0" w:header="0" w:top="1915" w:footer="0" w:bottom="965"/>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auto"/>
    <w:pitch w:val="default"/>
  </w:font>
  <w:font w:name="Times New Roman">
    <w:charset w:val="01" w:characterSet="utf-8"/>
    <w:family w:val="auto"/>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