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SCHEDULE C: TERMINATION PAYMENTS</w:t>
      </w:r>
    </w:p>
    <w:p>
      <w:pPr>
        <w:pStyle w:val="Normal"/>
        <w:rPr/>
      </w:pPr>
      <w:r>
        <w:rPr/>
      </w:r>
    </w:p>
    <w:p>
      <w:pPr>
        <w:pStyle w:val="Normal"/>
        <w:rPr>
          <w:rFonts w:ascii="Arial" w:hAnsi="Arial" w:cs="Arial"/>
        </w:rPr>
      </w:pPr>
      <w:r>
        <w:rPr>
          <w:rFonts w:cs="Arial" w:ascii="Arial" w:hAnsi="Arial"/>
        </w:rPr>
      </w:r>
    </w:p>
    <w:p>
      <w:pPr>
        <w:pStyle w:val="Normal"/>
        <w:numPr>
          <w:ilvl w:val="0"/>
          <w:numId w:val="2"/>
        </w:numPr>
        <w:ind w:hanging="0" w:start="360" w:end="0"/>
        <w:rPr>
          <w:rFonts w:ascii="Arial" w:hAnsi="Arial" w:cs="Arial"/>
          <w:b/>
        </w:rPr>
      </w:pPr>
      <w:r>
        <w:rPr>
          <w:rFonts w:cs="Arial" w:ascii="Arial" w:hAnsi="Arial"/>
          <w:b/>
        </w:rPr>
        <w:t>Termination by Pipeline Company</w:t>
      </w:r>
    </w:p>
    <w:p>
      <w:pPr>
        <w:pStyle w:val="Normal"/>
        <w:ind w:start="360" w:end="0"/>
        <w:rPr>
          <w:rFonts w:ascii="Arial" w:hAnsi="Arial" w:cs="Arial"/>
          <w:b/>
        </w:rPr>
      </w:pPr>
      <w:r>
        <w:rPr>
          <w:rFonts w:cs="Arial" w:ascii="Arial" w:hAnsi="Arial"/>
          <w:b/>
        </w:rPr>
      </w:r>
    </w:p>
    <w:p>
      <w:pPr>
        <w:pStyle w:val="BodyTextIndent5"/>
        <w:numPr>
          <w:ilvl w:val="1"/>
          <w:numId w:val="2"/>
        </w:numPr>
        <w:tabs>
          <w:tab w:val="clear" w:pos="720"/>
          <w:tab w:val="left" w:pos="810" w:leader="none"/>
        </w:tabs>
        <w:ind w:hanging="0" w:start="630" w:end="0"/>
        <w:jc w:val="both"/>
        <w:rPr/>
      </w:pPr>
      <w:r>
        <w:rPr>
          <w:rFonts w:eastAsia="Arial"/>
        </w:rPr>
        <w:t xml:space="preserve"> </w:t>
      </w:r>
      <w:r>
        <w:rPr/>
        <w:t>Pipeline Company will pay Enron all outstanding balances for charges associated with Transactions executed by Pipeline Company on EnronOnline and the outstanding amount for the Core Support, Supplemental Setup (if any) and Supplemental Support (if any) for the remainder of the term of the contract.</w:t>
      </w:r>
    </w:p>
    <w:p>
      <w:pPr>
        <w:pStyle w:val="Normal"/>
        <w:rPr>
          <w:rFonts w:ascii="Arial" w:hAnsi="Arial" w:cs="Arial"/>
        </w:rPr>
      </w:pPr>
      <w:r>
        <w:rPr>
          <w:rFonts w:cs="Arial" w:ascii="Arial" w:hAnsi="Arial"/>
        </w:rPr>
      </w:r>
    </w:p>
    <w:p>
      <w:pPr>
        <w:pStyle w:val="Normal"/>
        <w:numPr>
          <w:ilvl w:val="0"/>
          <w:numId w:val="2"/>
        </w:numPr>
        <w:ind w:hanging="0" w:start="360" w:end="0"/>
        <w:rPr>
          <w:rFonts w:ascii="Arial" w:hAnsi="Arial" w:cs="Arial"/>
          <w:b/>
        </w:rPr>
      </w:pPr>
      <w:r>
        <w:rPr>
          <w:rFonts w:cs="Arial" w:ascii="Arial" w:hAnsi="Arial"/>
          <w:b/>
        </w:rPr>
        <w:t>Termination by Enron</w:t>
      </w:r>
    </w:p>
    <w:p>
      <w:pPr>
        <w:pStyle w:val="Normal"/>
        <w:ind w:start="360" w:end="0"/>
        <w:rPr>
          <w:rFonts w:ascii="Arial" w:hAnsi="Arial" w:cs="Arial"/>
          <w:b/>
        </w:rPr>
      </w:pPr>
      <w:r>
        <w:rPr>
          <w:rFonts w:cs="Arial" w:ascii="Arial" w:hAnsi="Arial"/>
          <w:b/>
        </w:rPr>
      </w:r>
    </w:p>
    <w:p>
      <w:pPr>
        <w:pStyle w:val="BodyTextIndent5"/>
        <w:numPr>
          <w:ilvl w:val="1"/>
          <w:numId w:val="2"/>
        </w:numPr>
        <w:tabs>
          <w:tab w:val="clear" w:pos="720"/>
          <w:tab w:val="left" w:pos="810" w:leader="none"/>
        </w:tabs>
        <w:spacing w:before="0" w:after="240"/>
        <w:ind w:hanging="0" w:start="630" w:end="0"/>
        <w:jc w:val="both"/>
        <w:rPr/>
      </w:pPr>
      <w:r>
        <w:rPr>
          <w:rFonts w:eastAsia="Arial"/>
        </w:rPr>
        <w:t xml:space="preserve"> </w:t>
      </w:r>
      <w:r>
        <w:rPr/>
        <w:t>Enron will refund to Pipeline Company a pro rata portion of the annual Core Support fee and a pro rata portion of the annual Supplemental Support fee (if any) paid by Pipeline Company for he corresponding year.</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EnronOnline Confidential - 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5">
    <w:name w:val="Body Text Indent .5&quot;"/>
    <w:basedOn w:val="BodyText"/>
    <w:qFormat/>
    <w:pPr>
      <w:spacing w:lineRule="auto" w:line="360" w:before="0" w:after="240"/>
      <w:ind w:hanging="0" w:start="72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2001-02-16T20:47:00Z</dcterms:created>
  <dc:creator>Carlos Alatorre</dc:creator>
  <dc:description/>
  <dc:language>en-CA</dc:language>
  <cp:lastModifiedBy>Carlos Alatorre</cp:lastModifiedBy>
  <cp:lastPrinted>2001-02-16T17:59:00Z</cp:lastPrinted>
  <dcterms:modified xsi:type="dcterms:W3CDTF">2001-02-16T21:41:00Z</dcterms:modified>
  <cp:revision>12</cp:revision>
  <dc:subject/>
  <dc:title>SCHEDULE C: TERMINATION PAYMENTS</dc:title>
</cp:coreProperties>
</file>