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72"/>
          <w:lang w:val="en-US"/>
        </w:rPr>
        <w:t>ISDA</w:t>
      </w:r>
      <w:r>
        <w:rPr>
          <w:lang w:val="en-US"/>
        </w:rPr>
        <w:t xml:space="preserve"> ®</w:t>
      </w:r>
    </w:p>
    <w:p>
      <w:pPr>
        <w:pStyle w:val="Normal"/>
        <w:jc w:val="center"/>
        <w:rPr>
          <w:sz w:val="18"/>
          <w:lang w:val="en-US"/>
        </w:rPr>
      </w:pPr>
      <w:r>
        <w:rPr>
          <w:sz w:val="18"/>
          <w:lang w:val="en-US"/>
        </w:rPr>
        <w:t>International Swap Dealers Association, Inc.</w:t>
      </w:r>
    </w:p>
    <w:p>
      <w:pPr>
        <w:pStyle w:val="Normal"/>
        <w:jc w:val="center"/>
        <w:rPr>
          <w:b/>
          <w:sz w:val="28"/>
          <w:lang w:val="en-US"/>
        </w:rPr>
      </w:pPr>
      <w:r>
        <w:rPr>
          <w:b/>
          <w:sz w:val="28"/>
          <w:lang w:val="en-US"/>
        </w:rPr>
      </w:r>
    </w:p>
    <w:p>
      <w:pPr>
        <w:pStyle w:val="Normal"/>
        <w:jc w:val="center"/>
        <w:rPr>
          <w:b/>
          <w:sz w:val="26"/>
          <w:lang w:val="en-US"/>
        </w:rPr>
      </w:pPr>
      <w:r>
        <w:rPr>
          <w:b/>
          <w:sz w:val="26"/>
          <w:lang w:val="en-US"/>
        </w:rPr>
        <w:t>SCHEDULE</w:t>
      </w:r>
    </w:p>
    <w:p>
      <w:pPr>
        <w:pStyle w:val="Normal"/>
        <w:jc w:val="center"/>
        <w:rPr>
          <w:b/>
          <w:sz w:val="26"/>
          <w:lang w:val="en-US"/>
        </w:rPr>
      </w:pPr>
      <w:r>
        <w:rPr>
          <w:b/>
          <w:sz w:val="26"/>
          <w:lang w:val="en-US"/>
        </w:rPr>
        <w:t>to the</w:t>
      </w:r>
    </w:p>
    <w:p>
      <w:pPr>
        <w:pStyle w:val="Normal"/>
        <w:jc w:val="center"/>
        <w:rPr>
          <w:b/>
          <w:sz w:val="26"/>
          <w:lang w:val="en-US"/>
        </w:rPr>
      </w:pPr>
      <w:r>
        <w:rPr>
          <w:b/>
          <w:sz w:val="26"/>
          <w:lang w:val="en-US"/>
        </w:rPr>
        <w:t>Master Agreement</w:t>
      </w:r>
    </w:p>
    <w:p>
      <w:pPr>
        <w:pStyle w:val="Normal"/>
        <w:jc w:val="center"/>
        <w:rPr>
          <w:b/>
          <w:sz w:val="22"/>
          <w:lang w:val="en-US"/>
        </w:rPr>
      </w:pPr>
      <w:r>
        <w:rPr>
          <w:b/>
          <w:sz w:val="22"/>
          <w:lang w:val="en-US"/>
        </w:rPr>
      </w:r>
    </w:p>
    <w:p>
      <w:pPr>
        <w:pStyle w:val="Normal"/>
        <w:jc w:val="center"/>
        <w:rPr>
          <w:sz w:val="22"/>
          <w:lang w:val="en-US"/>
        </w:rPr>
      </w:pPr>
      <w:r>
        <w:rPr>
          <w:sz w:val="22"/>
          <w:lang w:val="en-US"/>
        </w:rPr>
        <w:t>dated as of.........................................</w:t>
      </w:r>
    </w:p>
    <w:p>
      <w:pPr>
        <w:pStyle w:val="Normal"/>
        <w:rPr>
          <w:sz w:val="22"/>
          <w:lang w:val="en-US"/>
        </w:rPr>
      </w:pPr>
      <w:r>
        <w:rPr>
          <w:sz w:val="22"/>
          <w:lang w:val="en-US"/>
        </w:rPr>
      </w:r>
    </w:p>
    <w:p>
      <w:pPr>
        <w:pStyle w:val="Normal"/>
        <w:rPr>
          <w:sz w:val="22"/>
          <w:lang w:val="en-US"/>
        </w:rPr>
      </w:pPr>
      <w:r>
        <w:rPr>
          <w:sz w:val="22"/>
          <w:lang w:val="en-US"/>
        </w:rPr>
        <w:t>between........................................................... and</w:t>
      </w:r>
      <w:r>
        <w:rPr>
          <w:b/>
          <w:sz w:val="22"/>
          <w:lang w:val="en-US"/>
        </w:rPr>
        <w:t xml:space="preserve"> PEREZ COMPANC S.A.</w:t>
      </w:r>
    </w:p>
    <w:p>
      <w:pPr>
        <w:pStyle w:val="Normal"/>
        <w:rPr>
          <w:sz w:val="22"/>
          <w:lang w:val="en-US"/>
        </w:rPr>
      </w:pPr>
      <w:r>
        <w:rPr>
          <w:sz w:val="22"/>
          <w:lang w:val="en-US"/>
        </w:rPr>
        <w:tab/>
        <w:tab/>
        <w:t>("Party A")</w:t>
        <w:tab/>
        <w:tab/>
        <w:tab/>
        <w:tab/>
        <w:t xml:space="preserve"> ("Party B")</w:t>
      </w:r>
    </w:p>
    <w:p>
      <w:pPr>
        <w:pStyle w:val="Normal"/>
        <w:rPr>
          <w:sz w:val="22"/>
          <w:lang w:val="en-US"/>
        </w:rPr>
      </w:pPr>
      <w:r>
        <w:rPr>
          <w:sz w:val="22"/>
          <w:lang w:val="en-US"/>
        </w:rPr>
      </w:r>
    </w:p>
    <w:p>
      <w:pPr>
        <w:pStyle w:val="Normal"/>
        <w:rPr>
          <w:b/>
          <w:sz w:val="22"/>
          <w:lang w:val="en-US"/>
        </w:rPr>
      </w:pPr>
      <w:r>
        <w:rPr>
          <w:b/>
          <w:sz w:val="22"/>
          <w:lang w:val="en-US"/>
        </w:rPr>
      </w:r>
    </w:p>
    <w:p>
      <w:pPr>
        <w:pStyle w:val="Normal"/>
        <w:rPr>
          <w:b/>
          <w:sz w:val="22"/>
          <w:lang w:val="en-US"/>
        </w:rPr>
      </w:pPr>
      <w:r>
        <w:rPr>
          <w:b/>
          <w:sz w:val="22"/>
          <w:lang w:val="en-US"/>
        </w:rPr>
      </w:r>
    </w:p>
    <w:p>
      <w:pPr>
        <w:pStyle w:val="Normal"/>
        <w:rPr>
          <w:b/>
          <w:sz w:val="22"/>
          <w:lang w:val="en-US"/>
        </w:rPr>
      </w:pPr>
      <w:r>
        <w:rPr>
          <w:b/>
          <w:sz w:val="22"/>
          <w:lang w:val="en-US"/>
        </w:rPr>
        <w:t>Part 1.</w:t>
        <w:tab/>
        <w:t>Termination Provisions</w:t>
      </w:r>
    </w:p>
    <w:p>
      <w:pPr>
        <w:pStyle w:val="Normal"/>
        <w:rPr>
          <w:b/>
          <w:sz w:val="22"/>
          <w:lang w:val="en-US"/>
        </w:rPr>
      </w:pPr>
      <w:r>
        <w:rPr>
          <w:b/>
          <w:sz w:val="22"/>
          <w:lang w:val="en-US"/>
        </w:rPr>
      </w:r>
    </w:p>
    <w:p>
      <w:pPr>
        <w:pStyle w:val="Normal"/>
        <w:rPr>
          <w:b/>
          <w:sz w:val="22"/>
          <w:lang w:val="en-US"/>
        </w:rPr>
      </w:pPr>
      <w:r>
        <w:rPr>
          <w:b/>
          <w:sz w:val="22"/>
          <w:lang w:val="en-US"/>
        </w:rPr>
      </w:r>
    </w:p>
    <w:p>
      <w:pPr>
        <w:pStyle w:val="Normal"/>
        <w:rPr/>
      </w:pPr>
      <w:r>
        <w:rPr>
          <w:sz w:val="22"/>
          <w:lang w:val="en-US"/>
        </w:rPr>
        <w:t>(a)</w:t>
        <w:tab/>
        <w:t>"</w:t>
      </w:r>
      <w:r>
        <w:rPr>
          <w:b/>
          <w:i/>
          <w:sz w:val="22"/>
          <w:lang w:val="en-US"/>
        </w:rPr>
        <w:t>Specified Entity</w:t>
      </w:r>
      <w:r>
        <w:rPr>
          <w:i/>
          <w:sz w:val="22"/>
          <w:lang w:val="en-US"/>
        </w:rPr>
        <w:t>"</w:t>
      </w:r>
      <w:r>
        <w:rPr>
          <w:sz w:val="22"/>
          <w:lang w:val="en-US"/>
        </w:rPr>
        <w:t xml:space="preserve"> means in relation to Party A and Party B for the purpose of:</w:t>
      </w:r>
    </w:p>
    <w:p>
      <w:pPr>
        <w:pStyle w:val="Normal"/>
        <w:rPr>
          <w:sz w:val="22"/>
          <w:lang w:val="en-US"/>
        </w:rPr>
      </w:pPr>
      <w:r>
        <w:rPr>
          <w:sz w:val="22"/>
          <w:lang w:val="en-US"/>
        </w:rPr>
      </w:r>
    </w:p>
    <w:p>
      <w:pPr>
        <w:pStyle w:val="Normal"/>
        <w:rPr>
          <w:sz w:val="22"/>
          <w:lang w:val="en-US"/>
        </w:rPr>
      </w:pPr>
      <w:r>
        <w:rPr>
          <w:sz w:val="22"/>
          <w:lang w:val="en-US"/>
        </w:rPr>
        <w:tab/>
        <w:t>Section 5 (a) (v), NONE.</w:t>
      </w:r>
    </w:p>
    <w:p>
      <w:pPr>
        <w:pStyle w:val="Normal"/>
        <w:rPr>
          <w:sz w:val="22"/>
          <w:lang w:val="en-US"/>
        </w:rPr>
      </w:pPr>
      <w:r>
        <w:rPr>
          <w:sz w:val="22"/>
          <w:lang w:val="en-US"/>
        </w:rPr>
        <w:tab/>
        <w:t>Section 5 (a) (vi), NONE.</w:t>
      </w:r>
    </w:p>
    <w:p>
      <w:pPr>
        <w:pStyle w:val="Normal"/>
        <w:rPr>
          <w:sz w:val="22"/>
          <w:lang w:val="en-US"/>
        </w:rPr>
      </w:pPr>
      <w:r>
        <w:rPr>
          <w:sz w:val="22"/>
          <w:lang w:val="en-US"/>
        </w:rPr>
        <w:tab/>
        <w:t>Section 5 (a) (vii), NONE.</w:t>
      </w:r>
    </w:p>
    <w:p>
      <w:pPr>
        <w:pStyle w:val="Normal"/>
        <w:rPr>
          <w:sz w:val="22"/>
          <w:lang w:val="en-US"/>
        </w:rPr>
      </w:pPr>
      <w:r>
        <w:rPr>
          <w:sz w:val="22"/>
          <w:lang w:val="en-US"/>
        </w:rPr>
        <w:tab/>
        <w:t>Section 5 (b) (iv), NONE.</w:t>
      </w:r>
    </w:p>
    <w:p>
      <w:pPr>
        <w:pStyle w:val="Normal"/>
        <w:rPr>
          <w:sz w:val="22"/>
          <w:lang w:val="en-US"/>
        </w:rPr>
      </w:pPr>
      <w:r>
        <w:rPr>
          <w:sz w:val="22"/>
          <w:lang w:val="en-US"/>
        </w:rPr>
      </w:r>
    </w:p>
    <w:p>
      <w:pPr>
        <w:pStyle w:val="Normal"/>
        <w:rPr>
          <w:sz w:val="22"/>
          <w:lang w:val="en-US"/>
        </w:rPr>
      </w:pPr>
      <w:r>
        <w:rPr>
          <w:sz w:val="22"/>
          <w:lang w:val="en-US"/>
        </w:rPr>
      </w:r>
    </w:p>
    <w:p>
      <w:pPr>
        <w:pStyle w:val="Normal"/>
        <w:ind w:hanging="709" w:start="709" w:end="0"/>
        <w:rPr/>
      </w:pPr>
      <w:r>
        <w:rPr>
          <w:sz w:val="22"/>
          <w:lang w:val="en-US"/>
        </w:rPr>
        <w:t>(b)</w:t>
        <w:tab/>
        <w:t>"</w:t>
      </w:r>
      <w:r>
        <w:rPr>
          <w:b/>
          <w:i/>
          <w:sz w:val="22"/>
          <w:lang w:val="en-US"/>
        </w:rPr>
        <w:t>Specified Transaction</w:t>
      </w:r>
      <w:r>
        <w:rPr>
          <w:i/>
          <w:sz w:val="22"/>
          <w:lang w:val="en-US"/>
        </w:rPr>
        <w:t xml:space="preserve"> </w:t>
      </w:r>
      <w:r>
        <w:rPr>
          <w:sz w:val="22"/>
          <w:lang w:val="en-US"/>
        </w:rPr>
        <w:t>“will have the meaning specified in Section 14 of this Agreement.</w:t>
      </w:r>
    </w:p>
    <w:p>
      <w:pPr>
        <w:pStyle w:val="Normal"/>
        <w:rPr>
          <w:sz w:val="22"/>
          <w:lang w:val="en-US"/>
        </w:rPr>
      </w:pPr>
      <w:r>
        <w:rPr>
          <w:sz w:val="22"/>
          <w:lang w:val="en-US"/>
        </w:rPr>
      </w:r>
    </w:p>
    <w:p>
      <w:pPr>
        <w:pStyle w:val="Normal"/>
        <w:rPr>
          <w:sz w:val="22"/>
          <w:lang w:val="en-US"/>
        </w:rPr>
      </w:pPr>
      <w:r>
        <w:rPr>
          <w:sz w:val="22"/>
          <w:lang w:val="en-US"/>
        </w:rPr>
      </w:r>
    </w:p>
    <w:p>
      <w:pPr>
        <w:pStyle w:val="Normal"/>
        <w:ind w:hanging="709" w:start="709" w:end="0"/>
        <w:rPr/>
      </w:pPr>
      <w:r>
        <w:rPr>
          <w:sz w:val="22"/>
          <w:lang w:val="en-US"/>
        </w:rPr>
        <w:t>(c)</w:t>
        <w:tab/>
        <w:t>The "</w:t>
      </w:r>
      <w:r>
        <w:rPr>
          <w:b/>
          <w:i/>
          <w:sz w:val="22"/>
          <w:lang w:val="en-US"/>
        </w:rPr>
        <w:t>Cross Default</w:t>
      </w:r>
      <w:r>
        <w:rPr>
          <w:i/>
          <w:sz w:val="22"/>
          <w:lang w:val="en-US"/>
        </w:rPr>
        <w:t>"</w:t>
      </w:r>
      <w:r>
        <w:rPr>
          <w:sz w:val="22"/>
          <w:lang w:val="en-US"/>
        </w:rPr>
        <w:t xml:space="preserve"> provisions of Section 5(a)(vi) will apply to Party A and Party B.</w:t>
      </w:r>
    </w:p>
    <w:p>
      <w:pPr>
        <w:pStyle w:val="Normal"/>
        <w:ind w:hanging="709" w:start="709" w:end="0"/>
        <w:rPr>
          <w:sz w:val="22"/>
          <w:lang w:val="en-US"/>
        </w:rPr>
      </w:pPr>
      <w:r>
        <w:rPr>
          <w:sz w:val="22"/>
          <w:lang w:val="en-US"/>
        </w:rPr>
      </w:r>
    </w:p>
    <w:p>
      <w:pPr>
        <w:pStyle w:val="Normal"/>
        <w:ind w:hanging="709" w:start="709" w:end="0"/>
        <w:rPr/>
      </w:pPr>
      <w:r>
        <w:rPr>
          <w:sz w:val="22"/>
          <w:lang w:val="en-US"/>
        </w:rPr>
        <w:tab/>
        <w:t>“</w:t>
      </w:r>
      <w:r>
        <w:rPr>
          <w:b/>
          <w:i/>
          <w:sz w:val="22"/>
          <w:lang w:val="en-US"/>
        </w:rPr>
        <w:t>Specified Indebtedness</w:t>
      </w:r>
      <w:r>
        <w:rPr>
          <w:sz w:val="22"/>
          <w:lang w:val="en-US"/>
        </w:rPr>
        <w:t>” means any obligation (whether present or future, contingent or otherwise, as principal or surety or otherwise) in respect of: (a) borrowed money; (b) any transaction which is a rate swap transaction,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physical-delivery equity, commodity derivatives, repos, securities lending or any other similar transaction (including any option with respect to any of these transactions) (“Hedging Transactions”), (c) any combination of these transactions, or (d) any unpaid amount due from an Early Termination or assimilable event of a Hedging Transaction.</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tab/>
        <w:t>For the purpose of Section 5(a)(vi) any reference to Specified Indebtedness becoming, or becoming capable of being declared, due and payable shall, in the case of a Hedging Transaction, be deemed to be a reference to such Hedging Transaction being, or becoming capable of being terminated or liquidated by the other party to such Hedging Transaction due to an Event of Default or assimilable event.</w:t>
      </w:r>
    </w:p>
    <w:p>
      <w:pPr>
        <w:pStyle w:val="Normal"/>
        <w:ind w:hanging="709" w:start="709" w:end="0"/>
        <w:rPr>
          <w:sz w:val="22"/>
          <w:lang w:val="en-US"/>
        </w:rPr>
      </w:pPr>
      <w:r>
        <w:rPr>
          <w:sz w:val="22"/>
          <w:lang w:val="en-US"/>
        </w:rPr>
      </w:r>
    </w:p>
    <w:p>
      <w:pPr>
        <w:pStyle w:val="Normal"/>
        <w:ind w:start="709" w:end="0"/>
        <w:rPr/>
      </w:pPr>
      <w:r>
        <w:rPr>
          <w:b/>
          <w:sz w:val="22"/>
          <w:lang w:val="en-US"/>
        </w:rPr>
        <w:t>"</w:t>
      </w:r>
      <w:r>
        <w:rPr>
          <w:b/>
          <w:i/>
          <w:sz w:val="22"/>
          <w:lang w:val="en-US"/>
        </w:rPr>
        <w:t>Threshold Amount</w:t>
      </w:r>
      <w:r>
        <w:rPr>
          <w:b/>
          <w:sz w:val="22"/>
          <w:lang w:val="en-US"/>
        </w:rPr>
        <w:t>"</w:t>
      </w:r>
      <w:r>
        <w:rPr>
          <w:sz w:val="22"/>
          <w:lang w:val="en-US"/>
        </w:rPr>
        <w:t xml:space="preserve"> means US Dollars ---------- (including the US Dollars equivalent of obligations stated in any other currency unit ).</w:t>
      </w:r>
    </w:p>
    <w:p>
      <w:pPr>
        <w:pStyle w:val="Normal"/>
        <w:ind w:start="709" w:end="0"/>
        <w:rPr>
          <w:sz w:val="22"/>
          <w:lang w:val="en-US"/>
        </w:rPr>
      </w:pPr>
      <w:r>
        <w:rPr>
          <w:sz w:val="22"/>
          <w:lang w:val="en-US"/>
        </w:rPr>
      </w:r>
    </w:p>
    <w:p>
      <w:pPr>
        <w:pStyle w:val="Normal"/>
        <w:ind w:start="709" w:end="0"/>
        <w:rPr>
          <w:sz w:val="22"/>
          <w:lang w:val="en-US"/>
        </w:rPr>
      </w:pPr>
      <w:r>
        <w:rPr>
          <w:sz w:val="22"/>
          <w:lang w:val="en-US"/>
        </w:rPr>
        <w:t>For purposes of applying the Threshold Amount, the amount owing (or when would be owing if an early termination date was designated or occurred) in respect of Hedging Transactions shall, if not already determined under the documentation relating thereto, be reasonably determined by Non-defaulting Party based on market practices then prevalent for determining the liquidation or termination values of the relevant type of Hedging Transaction.</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r>
    </w:p>
    <w:p>
      <w:pPr>
        <w:pStyle w:val="Normal"/>
        <w:ind w:hanging="709" w:start="709" w:end="0"/>
        <w:rPr/>
      </w:pPr>
      <w:r>
        <w:rPr>
          <w:sz w:val="22"/>
          <w:lang w:val="en-US"/>
        </w:rPr>
        <w:t>(d)</w:t>
        <w:tab/>
        <w:t>The "</w:t>
      </w:r>
      <w:r>
        <w:rPr>
          <w:b/>
          <w:i/>
          <w:sz w:val="22"/>
          <w:lang w:val="en-US"/>
        </w:rPr>
        <w:t>Credit Event Upon Merger</w:t>
      </w:r>
      <w:r>
        <w:rPr>
          <w:sz w:val="22"/>
          <w:lang w:val="en-US"/>
        </w:rPr>
        <w:t>"</w:t>
      </w:r>
      <w:r>
        <w:rPr>
          <w:b/>
          <w:sz w:val="22"/>
          <w:lang w:val="en-US"/>
        </w:rPr>
        <w:t xml:space="preserve"> </w:t>
      </w:r>
      <w:r>
        <w:rPr>
          <w:sz w:val="22"/>
          <w:lang w:val="en-US"/>
        </w:rPr>
        <w:t>provisions of Section 5 (b) (iv) will apply to Party</w:t>
      </w:r>
      <w:r>
        <w:rPr>
          <w:i/>
          <w:sz w:val="22"/>
          <w:lang w:val="en-US"/>
        </w:rPr>
        <w:t xml:space="preserve"> </w:t>
      </w:r>
      <w:r>
        <w:rPr>
          <w:sz w:val="22"/>
          <w:lang w:val="en-US"/>
        </w:rPr>
        <w:t>A and Party B with the following amendment:</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tab/>
        <w:t>Section 5(b)(iv) is hereby amended by adding the following phrase between the closing parenthesis and the semicolon at the end thereof: “provided, however, that the foregoing action or event shall not constitute a Termination Event as long as in connection with or after such action or event X, any Credit Support Provider of X or any applicable Specified Entity of X or its successor or transferee provides (or causes to be provided) to the other party (“Y”) within two Local Business Days of Y’s written demand therefor Performance Assurance in an amount satisfactory to Y in its sole and reasonable discretion and maintains (or causes to maintain) such Performance Assurance while any Transaction is outstanding. The “Performance Assurance” means, if Party A and Party B do not agree otherwise, an irrevocable letter of credit confirmed by a prime  bank with a credit rating of at least “A” by Standard and Poors or “A2” by Moodys, or any other bank that is otherwise acceptable to the Party in whose favor the letter of credit is issued.</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r>
    </w:p>
    <w:p>
      <w:pPr>
        <w:pStyle w:val="Normal"/>
        <w:numPr>
          <w:ilvl w:val="0"/>
          <w:numId w:val="2"/>
        </w:numPr>
        <w:rPr>
          <w:b/>
          <w:sz w:val="22"/>
          <w:lang w:val="en-US"/>
        </w:rPr>
      </w:pPr>
      <w:r>
        <w:rPr>
          <w:sz w:val="22"/>
          <w:lang w:val="en-US"/>
        </w:rPr>
        <w:t>The "</w:t>
      </w:r>
      <w:r>
        <w:rPr>
          <w:b/>
          <w:i/>
          <w:sz w:val="22"/>
          <w:lang w:val="en-US"/>
        </w:rPr>
        <w:t xml:space="preserve">Automatic Early Termination" </w:t>
      </w:r>
      <w:r>
        <w:rPr>
          <w:sz w:val="22"/>
          <w:lang w:val="en-US"/>
        </w:rPr>
        <w:t>provision of Section 6(a) will not apply to Party A nor to Party B.</w:t>
      </w:r>
    </w:p>
    <w:p>
      <w:pPr>
        <w:pStyle w:val="Normal"/>
        <w:rPr>
          <w:b/>
          <w:sz w:val="22"/>
          <w:lang w:val="en-US"/>
        </w:rPr>
      </w:pPr>
      <w:r>
        <w:rPr>
          <w:b/>
          <w:sz w:val="22"/>
          <w:lang w:val="en-US"/>
        </w:rPr>
      </w:r>
    </w:p>
    <w:p>
      <w:pPr>
        <w:pStyle w:val="Normal"/>
        <w:ind w:hanging="709" w:start="709" w:end="0"/>
        <w:rPr/>
      </w:pPr>
      <w:r>
        <w:rPr>
          <w:sz w:val="22"/>
          <w:lang w:val="en-US"/>
        </w:rPr>
        <w:t>(f)</w:t>
        <w:tab/>
      </w:r>
      <w:r>
        <w:rPr>
          <w:b/>
          <w:i/>
          <w:sz w:val="22"/>
          <w:lang w:val="en-US"/>
        </w:rPr>
        <w:t>Payments on Early Termination.</w:t>
      </w:r>
      <w:r>
        <w:rPr>
          <w:i/>
          <w:sz w:val="22"/>
          <w:lang w:val="en-US"/>
        </w:rPr>
        <w:t xml:space="preserve"> </w:t>
      </w:r>
      <w:r>
        <w:rPr>
          <w:sz w:val="22"/>
          <w:lang w:val="en-US"/>
        </w:rPr>
        <w:t>For the purpose of Section 6 (e) of this Agreement:</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tab/>
        <w:t>(i)</w:t>
        <w:tab/>
        <w:t>Market Quotation will apply.</w:t>
      </w:r>
    </w:p>
    <w:p>
      <w:pPr>
        <w:pStyle w:val="Normal"/>
        <w:ind w:hanging="709" w:start="709" w:end="0"/>
        <w:rPr>
          <w:sz w:val="22"/>
          <w:lang w:val="en-US"/>
        </w:rPr>
      </w:pPr>
      <w:r>
        <w:rPr>
          <w:sz w:val="22"/>
          <w:lang w:val="en-US"/>
        </w:rPr>
        <w:tab/>
        <w:t>(ii)</w:t>
        <w:tab/>
        <w:t>The Second Method will apply;</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tab/>
        <w:t>provided that, notwithstanding the provisions of Section 6(e)(i)(3), the Non-defaulting Party shall have no obligation to pay any amount thereunder to the Defaulting Party unless and until (1) any payment obligation under Hedging Transactions (contingent or absolute, matured or unmatured) of the Defaulting Party or its Affiliates to the Non-Defaulting Party or its Affiliates shall have been fully and finally performed; and (2) all payment obligations (contingent or absolute, matured or unmatured) of the Defaulting Party, its Credit Support Provider or any Affiliate of its Credit Support Provider to the Non-Defaulting Party or any of its Affiliates shall have been fully and finally performed, provided that in this item (2) “contingent” and “unmatured” shall only imply payments obligations that would mature within the next sixth months from the Early Termination Date.</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tab/>
        <w:t>and provided further that, notwithstanding the provisions of Section 6(e)(ii), in the case of an Early Termination due to a Credit Event Upon Merger, the party which is not the Affected Party (“X”) shall have no obligation to pay any amount thereunder to the Affected Party unless and until (1) any payment obligation under Hedging Transactions (contingent or absolute, matured or unmatured) of the Affected Party or its Affiliates to X or its Affiliates shall have been fully and finally performed; and (2) all payment obligations (contingent or absolute, matured or unmatured) of the Affected Party, its Credit Support Provider or any Affiliate of its Credit Support Provider to X or any of its Affiliates shall have been fully and finally performed, provided that in this item (2) “contingent” and “unmatured” shall only imply payments obligations that would mature within the next sixth months from the Early Termination Date.</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r>
    </w:p>
    <w:p>
      <w:pPr>
        <w:pStyle w:val="Normal"/>
        <w:rPr/>
      </w:pPr>
      <w:r>
        <w:rPr>
          <w:sz w:val="22"/>
          <w:lang w:val="en-US"/>
        </w:rPr>
        <w:t>(g)</w:t>
        <w:tab/>
        <w:t>"</w:t>
      </w:r>
      <w:r>
        <w:rPr>
          <w:b/>
          <w:i/>
          <w:sz w:val="22"/>
          <w:lang w:val="en-US"/>
        </w:rPr>
        <w:t>Termination Currency"</w:t>
      </w:r>
      <w:r>
        <w:rPr>
          <w:sz w:val="22"/>
          <w:lang w:val="en-US"/>
        </w:rPr>
        <w:t xml:space="preserve"> means US Dollars.</w:t>
      </w:r>
    </w:p>
    <w:p>
      <w:pPr>
        <w:pStyle w:val="Normal"/>
        <w:rPr>
          <w:b/>
          <w:sz w:val="22"/>
          <w:lang w:val="en-US"/>
        </w:rPr>
      </w:pPr>
      <w:r>
        <w:rPr>
          <w:b/>
          <w:sz w:val="22"/>
          <w:lang w:val="en-US"/>
        </w:rPr>
      </w:r>
    </w:p>
    <w:p>
      <w:pPr>
        <w:pStyle w:val="Normal"/>
        <w:rPr>
          <w:b/>
          <w:sz w:val="22"/>
          <w:lang w:val="en-US"/>
        </w:rPr>
      </w:pPr>
      <w:r>
        <w:rPr>
          <w:b/>
          <w:sz w:val="22"/>
          <w:lang w:val="en-US"/>
        </w:rPr>
      </w:r>
    </w:p>
    <w:p>
      <w:pPr>
        <w:pStyle w:val="Normal"/>
        <w:ind w:hanging="709" w:start="709" w:end="0"/>
        <w:rPr/>
      </w:pPr>
      <w:r>
        <w:rPr>
          <w:sz w:val="22"/>
          <w:lang w:val="en-US"/>
        </w:rPr>
        <w:t>(h)</w:t>
        <w:tab/>
      </w:r>
      <w:r>
        <w:rPr>
          <w:b/>
          <w:i/>
          <w:sz w:val="22"/>
          <w:lang w:val="en-US"/>
        </w:rPr>
        <w:t>Additional Termination Event</w:t>
      </w:r>
      <w:r>
        <w:rPr>
          <w:sz w:val="22"/>
          <w:lang w:val="en-US"/>
        </w:rPr>
        <w:t xml:space="preserve"> will not apply. </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r>
    </w:p>
    <w:p>
      <w:pPr>
        <w:pStyle w:val="Normal"/>
        <w:ind w:hanging="709" w:start="709" w:end="0"/>
        <w:rPr/>
      </w:pPr>
      <w:r>
        <w:rPr>
          <w:sz w:val="22"/>
          <w:lang w:val="en-US"/>
        </w:rPr>
        <w:t>Part 2.</w:t>
        <w:tab/>
      </w:r>
      <w:r>
        <w:rPr>
          <w:b/>
          <w:sz w:val="22"/>
          <w:lang w:val="en-US"/>
        </w:rPr>
        <w:t>Tax Representations.</w:t>
      </w:r>
    </w:p>
    <w:p>
      <w:pPr>
        <w:pStyle w:val="Normal"/>
        <w:ind w:hanging="709" w:start="709" w:end="0"/>
        <w:rPr>
          <w:b/>
          <w:sz w:val="22"/>
          <w:lang w:val="en-US"/>
        </w:rPr>
      </w:pPr>
      <w:r>
        <w:rPr>
          <w:b/>
          <w:sz w:val="22"/>
          <w:lang w:val="en-US"/>
        </w:rPr>
      </w:r>
    </w:p>
    <w:p>
      <w:pPr>
        <w:pStyle w:val="Normal"/>
        <w:ind w:hanging="709" w:start="709" w:end="0"/>
        <w:rPr>
          <w:b/>
          <w:sz w:val="22"/>
          <w:lang w:val="en-US"/>
        </w:rPr>
      </w:pPr>
      <w:r>
        <w:rPr>
          <w:b/>
          <w:sz w:val="22"/>
          <w:lang w:val="en-US"/>
        </w:rPr>
      </w:r>
    </w:p>
    <w:p>
      <w:pPr>
        <w:pStyle w:val="Normal"/>
        <w:ind w:hanging="709" w:start="709" w:end="0"/>
        <w:rPr/>
      </w:pPr>
      <w:r>
        <w:rPr>
          <w:sz w:val="22"/>
          <w:lang w:val="en-US"/>
        </w:rPr>
        <w:t>(a)</w:t>
      </w:r>
      <w:r>
        <w:rPr>
          <w:b/>
          <w:sz w:val="22"/>
          <w:lang w:val="en-US"/>
        </w:rPr>
        <w:tab/>
      </w:r>
      <w:r>
        <w:rPr>
          <w:b/>
          <w:i/>
          <w:sz w:val="22"/>
          <w:lang w:val="en-US"/>
        </w:rPr>
        <w:t xml:space="preserve">Payer Representations. </w:t>
      </w:r>
      <w:r>
        <w:rPr>
          <w:sz w:val="22"/>
          <w:lang w:val="en-US"/>
        </w:rPr>
        <w:t>For the purpose of Section (3) (e) of this Agreement, Party A and Party B will make the following representation:</w:t>
      </w:r>
    </w:p>
    <w:p>
      <w:pPr>
        <w:pStyle w:val="Normal"/>
        <w:ind w:hanging="709" w:start="709" w:end="0"/>
        <w:rPr>
          <w:sz w:val="22"/>
          <w:lang w:val="en-US"/>
        </w:rPr>
      </w:pPr>
      <w:r>
        <w:rPr>
          <w:sz w:val="22"/>
          <w:lang w:val="en-US"/>
        </w:rPr>
      </w:r>
    </w:p>
    <w:p>
      <w:pPr>
        <w:pStyle w:val="Normal"/>
        <w:ind w:hanging="709" w:start="709" w:end="0"/>
        <w:rPr/>
      </w:pPr>
      <w:r>
        <w:rPr>
          <w:sz w:val="22"/>
          <w:lang w:val="en-US"/>
        </w:rPr>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 (ii) or 6(e) of this Agreement </w:t>
      </w:r>
      <w:r>
        <w:rPr>
          <w:sz w:val="22"/>
        </w:rPr>
        <w:t>or any other payment assimilated to interest pursuant to Argentine tax laws or regulations under any Transaction</w:t>
      </w:r>
      <w:r>
        <w:rPr>
          <w:sz w:val="22"/>
          <w:lang w:val="en-US"/>
        </w:rPr>
        <w:t xml:space="preserve">) to be made by it to the other party under this Agreement. In making this representation, it may rely on (i) the accuracy of any representations made by the other party pursuant to Section 3(f) of this Agreement, (ii) the satisfaction of the agreement contained in Section 4(a) (i) or 4(a)(iii) of this Agreement and the accuracy and effectiveness of any document provided by the other party pursuant to Section 4(a) (i) or 4(a)(iii) of this Agreement and (iii) the satisfaction of the agreement of the party contained in Section 4(d) of this Agreement, </w:t>
      </w:r>
      <w:r>
        <w:rPr>
          <w:i/>
          <w:sz w:val="22"/>
          <w:lang w:val="en-US"/>
        </w:rPr>
        <w:t>provided</w:t>
      </w:r>
      <w:r>
        <w:rPr>
          <w:sz w:val="22"/>
          <w:lang w:val="en-US"/>
        </w:rPr>
        <w:t xml:space="preserve"> that it shall not be a breach of this representation where reliance is placed on clause (ii) and the other party does not deliver a form or document under Section 4(a) (iii) by reason of material prejudice to its legal or commercial position.</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r>
    </w:p>
    <w:p>
      <w:pPr>
        <w:pStyle w:val="Normal"/>
        <w:ind w:hanging="709" w:start="709" w:end="0"/>
        <w:rPr/>
      </w:pPr>
      <w:r>
        <w:rPr>
          <w:sz w:val="22"/>
          <w:lang w:val="en-US"/>
        </w:rPr>
        <w:t>(b)</w:t>
        <w:tab/>
      </w:r>
      <w:r>
        <w:rPr>
          <w:b/>
          <w:i/>
          <w:sz w:val="22"/>
          <w:lang w:val="en-US"/>
        </w:rPr>
        <w:t xml:space="preserve">Payee Representations. </w:t>
      </w:r>
      <w:r>
        <w:rPr>
          <w:sz w:val="22"/>
          <w:lang w:val="en-US"/>
        </w:rPr>
        <w:t>For the purpose of Section 3(f) of this Agreement, Party A and Party B make no representations.</w:t>
      </w:r>
    </w:p>
    <w:p>
      <w:pPr>
        <w:pStyle w:val="Normal"/>
        <w:rPr>
          <w:sz w:val="22"/>
          <w:lang w:val="en-US"/>
        </w:rPr>
      </w:pPr>
      <w:r>
        <w:rPr>
          <w:sz w:val="22"/>
          <w:lang w:val="en-US"/>
        </w:rPr>
      </w:r>
    </w:p>
    <w:p>
      <w:pPr>
        <w:pStyle w:val="Normal"/>
        <w:rPr>
          <w:sz w:val="22"/>
          <w:lang w:val="en-US"/>
        </w:rPr>
      </w:pPr>
      <w:r>
        <w:rPr>
          <w:sz w:val="22"/>
          <w:lang w:val="en-US"/>
        </w:rPr>
      </w:r>
    </w:p>
    <w:p>
      <w:pPr>
        <w:pStyle w:val="Normal"/>
        <w:rPr>
          <w:sz w:val="22"/>
          <w:lang w:val="en-US"/>
        </w:rPr>
      </w:pPr>
      <w:r>
        <w:rPr>
          <w:sz w:val="22"/>
          <w:lang w:val="en-US"/>
        </w:rPr>
      </w:r>
    </w:p>
    <w:p>
      <w:pPr>
        <w:pStyle w:val="Normal"/>
        <w:rPr/>
      </w:pPr>
      <w:r>
        <w:rPr>
          <w:sz w:val="22"/>
          <w:lang w:val="en-US"/>
        </w:rPr>
        <w:t xml:space="preserve">Part 3. </w:t>
      </w:r>
      <w:r>
        <w:rPr>
          <w:b/>
          <w:sz w:val="22"/>
          <w:lang w:val="en-US"/>
        </w:rPr>
        <w:t>Agreement to Deliver Documents</w:t>
      </w:r>
    </w:p>
    <w:p>
      <w:pPr>
        <w:pStyle w:val="Normal"/>
        <w:rPr>
          <w:b/>
          <w:sz w:val="22"/>
          <w:lang w:val="en-US"/>
        </w:rPr>
      </w:pPr>
      <w:r>
        <w:rPr>
          <w:b/>
          <w:sz w:val="22"/>
          <w:lang w:val="en-US"/>
        </w:rPr>
      </w:r>
    </w:p>
    <w:p>
      <w:pPr>
        <w:pStyle w:val="Normal"/>
        <w:rPr>
          <w:sz w:val="22"/>
          <w:lang w:val="en-US"/>
        </w:rPr>
      </w:pPr>
      <w:r>
        <w:rPr>
          <w:sz w:val="22"/>
          <w:lang w:val="en-US"/>
        </w:rPr>
        <w:t>For the purpose of Section 4(a) (i) and (ii) of this Agreement, each party agrees to deliver the following documents, as applicable:</w:t>
      </w:r>
    </w:p>
    <w:p>
      <w:pPr>
        <w:pStyle w:val="Normal"/>
        <w:rPr>
          <w:sz w:val="22"/>
          <w:lang w:val="en-US"/>
        </w:rPr>
      </w:pPr>
      <w:r>
        <w:rPr>
          <w:sz w:val="22"/>
          <w:lang w:val="en-US"/>
        </w:rPr>
      </w:r>
    </w:p>
    <w:p>
      <w:pPr>
        <w:pStyle w:val="Normal"/>
        <w:rPr>
          <w:sz w:val="22"/>
          <w:lang w:val="en-US"/>
        </w:rPr>
      </w:pPr>
      <w:r>
        <w:rPr>
          <w:sz w:val="22"/>
          <w:lang w:val="en-US"/>
        </w:rPr>
      </w:r>
    </w:p>
    <w:tbl>
      <w:tblPr>
        <w:tblW w:w="8717" w:type="dxa"/>
        <w:jc w:val="start"/>
        <w:tblInd w:w="0" w:type="dxa"/>
        <w:tblLayout w:type="fixed"/>
        <w:tblCellMar>
          <w:top w:w="0" w:type="dxa"/>
          <w:start w:w="70" w:type="dxa"/>
          <w:bottom w:w="0" w:type="dxa"/>
          <w:end w:w="70" w:type="dxa"/>
        </w:tblCellMar>
      </w:tblPr>
      <w:tblGrid>
        <w:gridCol w:w="1346"/>
        <w:gridCol w:w="3544"/>
        <w:gridCol w:w="2126"/>
        <w:gridCol w:w="1701"/>
      </w:tblGrid>
      <w:tr>
        <w:trPr/>
        <w:tc>
          <w:tcPr>
            <w:tcW w:w="1346" w:type="dxa"/>
            <w:tcBorders/>
          </w:tcPr>
          <w:p>
            <w:pPr>
              <w:pStyle w:val="Normal"/>
              <w:spacing w:before="0" w:after="120"/>
              <w:rPr>
                <w:b/>
                <w:sz w:val="22"/>
                <w:lang w:val="en-US"/>
              </w:rPr>
            </w:pPr>
            <w:r>
              <w:rPr>
                <w:b/>
                <w:sz w:val="22"/>
                <w:lang w:val="en-US"/>
              </w:rPr>
              <w:t>Party required to deliver document</w:t>
            </w:r>
          </w:p>
        </w:tc>
        <w:tc>
          <w:tcPr>
            <w:tcW w:w="3544" w:type="dxa"/>
            <w:tcBorders/>
          </w:tcPr>
          <w:p>
            <w:pPr>
              <w:pStyle w:val="Normal"/>
              <w:spacing w:before="0" w:after="120"/>
              <w:rPr>
                <w:b/>
                <w:sz w:val="22"/>
                <w:lang w:val="en-US"/>
              </w:rPr>
            </w:pPr>
            <w:r>
              <w:rPr>
                <w:b/>
                <w:sz w:val="22"/>
                <w:lang w:val="en-US"/>
              </w:rPr>
              <w:t>Form/Document/Certificate</w:t>
            </w:r>
          </w:p>
        </w:tc>
        <w:tc>
          <w:tcPr>
            <w:tcW w:w="2126" w:type="dxa"/>
            <w:tcBorders/>
          </w:tcPr>
          <w:p>
            <w:pPr>
              <w:pStyle w:val="Normal"/>
              <w:spacing w:before="0" w:after="120"/>
              <w:rPr>
                <w:b/>
                <w:sz w:val="22"/>
                <w:lang w:val="en-US"/>
              </w:rPr>
            </w:pPr>
            <w:r>
              <w:rPr>
                <w:b/>
                <w:sz w:val="22"/>
                <w:lang w:val="en-US"/>
              </w:rPr>
              <w:t>Date by which to be delivered</w:t>
            </w:r>
          </w:p>
        </w:tc>
        <w:tc>
          <w:tcPr>
            <w:tcW w:w="1701" w:type="dxa"/>
            <w:tcBorders/>
          </w:tcPr>
          <w:p>
            <w:pPr>
              <w:pStyle w:val="Normal"/>
              <w:spacing w:before="0" w:after="120"/>
              <w:rPr>
                <w:b/>
                <w:sz w:val="22"/>
                <w:lang w:val="en-US"/>
              </w:rPr>
            </w:pPr>
            <w:r>
              <w:rPr>
                <w:b/>
                <w:sz w:val="22"/>
                <w:lang w:val="en-US"/>
              </w:rPr>
              <w:t>Covered by Section 3(d) Representation</w:t>
            </w:r>
          </w:p>
        </w:tc>
      </w:tr>
      <w:tr>
        <w:trPr/>
        <w:tc>
          <w:tcPr>
            <w:tcW w:w="1346" w:type="dxa"/>
            <w:tcBorders/>
          </w:tcPr>
          <w:p>
            <w:pPr>
              <w:pStyle w:val="Normal"/>
              <w:spacing w:before="0" w:after="120"/>
              <w:rPr>
                <w:sz w:val="22"/>
                <w:lang w:val="en-US"/>
              </w:rPr>
            </w:pPr>
            <w:r>
              <w:rPr>
                <w:sz w:val="22"/>
                <w:lang w:val="en-US"/>
              </w:rPr>
              <w:t>Party A and Party B</w:t>
            </w:r>
          </w:p>
        </w:tc>
        <w:tc>
          <w:tcPr>
            <w:tcW w:w="3544" w:type="dxa"/>
            <w:tcBorders/>
          </w:tcPr>
          <w:p>
            <w:pPr>
              <w:pStyle w:val="Normal"/>
              <w:spacing w:before="0" w:after="120"/>
              <w:rPr>
                <w:sz w:val="22"/>
                <w:lang w:val="en-US"/>
              </w:rPr>
            </w:pPr>
            <w:r>
              <w:rPr>
                <w:sz w:val="22"/>
                <w:lang w:val="en-US"/>
              </w:rPr>
              <w:t>Duly executed originals of the Credit Support Documents specified in Part 4(f) of this Schedule (if applicable), with signature notarized with the Apostille attached (Convention de La Haye du 5 octobre 1961).</w:t>
            </w:r>
          </w:p>
        </w:tc>
        <w:tc>
          <w:tcPr>
            <w:tcW w:w="2126" w:type="dxa"/>
            <w:tcBorders/>
          </w:tcPr>
          <w:p>
            <w:pPr>
              <w:pStyle w:val="Normal"/>
              <w:spacing w:before="0" w:after="120"/>
              <w:rPr>
                <w:sz w:val="22"/>
                <w:lang w:val="en-US"/>
              </w:rPr>
            </w:pPr>
            <w:r>
              <w:rPr>
                <w:sz w:val="22"/>
                <w:lang w:val="en-US"/>
              </w:rPr>
              <w:t>At execution of this Agreement.</w:t>
            </w:r>
          </w:p>
        </w:tc>
        <w:tc>
          <w:tcPr>
            <w:tcW w:w="1701" w:type="dxa"/>
            <w:tcBorders/>
          </w:tcPr>
          <w:p>
            <w:pPr>
              <w:pStyle w:val="Normal"/>
              <w:spacing w:before="0" w:after="120"/>
              <w:jc w:val="center"/>
              <w:rPr>
                <w:sz w:val="22"/>
                <w:lang w:val="en-US"/>
              </w:rPr>
            </w:pPr>
            <w:r>
              <w:rPr>
                <w:sz w:val="22"/>
                <w:lang w:val="en-US"/>
              </w:rPr>
              <w:t>Yes.</w:t>
            </w:r>
          </w:p>
        </w:tc>
      </w:tr>
      <w:tr>
        <w:trPr/>
        <w:tc>
          <w:tcPr>
            <w:tcW w:w="1346" w:type="dxa"/>
            <w:tcBorders/>
          </w:tcPr>
          <w:p>
            <w:pPr>
              <w:pStyle w:val="Normal"/>
              <w:spacing w:before="0" w:after="120"/>
              <w:rPr>
                <w:sz w:val="22"/>
                <w:lang w:val="en-US"/>
              </w:rPr>
            </w:pPr>
            <w:r>
              <w:rPr>
                <w:sz w:val="22"/>
                <w:lang w:val="en-US"/>
              </w:rPr>
              <w:t>Party A and Party B</w:t>
            </w:r>
          </w:p>
        </w:tc>
        <w:tc>
          <w:tcPr>
            <w:tcW w:w="3544" w:type="dxa"/>
            <w:tcBorders/>
          </w:tcPr>
          <w:p>
            <w:pPr>
              <w:pStyle w:val="Normal"/>
              <w:spacing w:before="0" w:after="120"/>
              <w:rPr>
                <w:sz w:val="22"/>
                <w:lang w:val="en-US"/>
              </w:rPr>
            </w:pPr>
            <w:r>
              <w:rPr>
                <w:sz w:val="22"/>
                <w:lang w:val="en-US"/>
              </w:rPr>
              <w:t>A power of attorney or secretary’s certificate duly notarized and with the Apostille attached (Convention de La Haye du 5 octobre 1961) as to the authority and specimen signatures of the person or persons to execute this Agreement, any Credit Support Document (if applicable), any Confirmation and any documents incorporated by reference herein or therein.</w:t>
            </w:r>
          </w:p>
        </w:tc>
        <w:tc>
          <w:tcPr>
            <w:tcW w:w="2126" w:type="dxa"/>
            <w:tcBorders/>
          </w:tcPr>
          <w:p>
            <w:pPr>
              <w:pStyle w:val="Normal"/>
              <w:spacing w:before="0" w:after="120"/>
              <w:rPr>
                <w:sz w:val="22"/>
                <w:lang w:val="en-US"/>
              </w:rPr>
            </w:pPr>
            <w:r>
              <w:rPr>
                <w:sz w:val="22"/>
                <w:lang w:val="en-US"/>
              </w:rPr>
              <w:t>At execution of this Agreement.</w:t>
            </w:r>
          </w:p>
        </w:tc>
        <w:tc>
          <w:tcPr>
            <w:tcW w:w="1701" w:type="dxa"/>
            <w:tcBorders/>
          </w:tcPr>
          <w:p>
            <w:pPr>
              <w:pStyle w:val="Normal"/>
              <w:spacing w:before="0" w:after="120"/>
              <w:jc w:val="center"/>
              <w:rPr>
                <w:sz w:val="22"/>
                <w:lang w:val="en-US"/>
              </w:rPr>
            </w:pPr>
            <w:r>
              <w:rPr>
                <w:sz w:val="22"/>
                <w:lang w:val="en-US"/>
              </w:rPr>
              <w:t>Yes.</w:t>
            </w:r>
          </w:p>
        </w:tc>
      </w:tr>
      <w:tr>
        <w:trPr/>
        <w:tc>
          <w:tcPr>
            <w:tcW w:w="1346" w:type="dxa"/>
            <w:tcBorders/>
          </w:tcPr>
          <w:p>
            <w:pPr>
              <w:pStyle w:val="Normal"/>
              <w:spacing w:before="0" w:after="120"/>
              <w:rPr>
                <w:sz w:val="22"/>
                <w:lang w:val="en-US"/>
              </w:rPr>
            </w:pPr>
            <w:r>
              <w:rPr>
                <w:sz w:val="22"/>
                <w:lang w:val="en-US"/>
              </w:rPr>
              <w:t>Party A and Party B</w:t>
            </w:r>
          </w:p>
        </w:tc>
        <w:tc>
          <w:tcPr>
            <w:tcW w:w="3544" w:type="dxa"/>
            <w:tcBorders/>
          </w:tcPr>
          <w:p>
            <w:pPr>
              <w:pStyle w:val="Normal"/>
              <w:spacing w:before="0" w:after="120"/>
              <w:rPr>
                <w:sz w:val="22"/>
                <w:lang w:val="en-US"/>
              </w:rPr>
            </w:pPr>
            <w:r>
              <w:rPr>
                <w:sz w:val="22"/>
                <w:lang w:val="en-US"/>
              </w:rPr>
              <w:t>A certified copy of the bylaws or article of association and incorporation of such party, updated as materially amended from time to time.</w:t>
            </w:r>
          </w:p>
        </w:tc>
        <w:tc>
          <w:tcPr>
            <w:tcW w:w="2126" w:type="dxa"/>
            <w:tcBorders/>
          </w:tcPr>
          <w:p>
            <w:pPr>
              <w:pStyle w:val="Normal"/>
              <w:spacing w:before="0" w:after="120"/>
              <w:rPr>
                <w:sz w:val="22"/>
                <w:lang w:val="en-US"/>
              </w:rPr>
            </w:pPr>
            <w:r>
              <w:rPr>
                <w:sz w:val="22"/>
                <w:lang w:val="en-US"/>
              </w:rPr>
              <w:t>At execution of this Agreement and when amended.</w:t>
            </w:r>
          </w:p>
        </w:tc>
        <w:tc>
          <w:tcPr>
            <w:tcW w:w="1701" w:type="dxa"/>
            <w:tcBorders/>
          </w:tcPr>
          <w:p>
            <w:pPr>
              <w:pStyle w:val="Normal"/>
              <w:spacing w:before="0" w:after="120"/>
              <w:jc w:val="center"/>
              <w:rPr>
                <w:sz w:val="22"/>
                <w:lang w:val="en-US"/>
              </w:rPr>
            </w:pPr>
            <w:r>
              <w:rPr>
                <w:sz w:val="22"/>
                <w:lang w:val="en-US"/>
              </w:rPr>
              <w:t>Yes</w:t>
            </w:r>
          </w:p>
        </w:tc>
      </w:tr>
      <w:tr>
        <w:trPr/>
        <w:tc>
          <w:tcPr>
            <w:tcW w:w="1346" w:type="dxa"/>
            <w:tcBorders/>
          </w:tcPr>
          <w:p>
            <w:pPr>
              <w:pStyle w:val="Normal"/>
              <w:spacing w:before="0" w:after="120"/>
              <w:rPr>
                <w:sz w:val="22"/>
                <w:lang w:val="en-US"/>
              </w:rPr>
            </w:pPr>
            <w:r>
              <w:rPr>
                <w:sz w:val="22"/>
                <w:lang w:val="en-US"/>
              </w:rPr>
              <w:t>Party A and Party B</w:t>
            </w:r>
          </w:p>
        </w:tc>
        <w:tc>
          <w:tcPr>
            <w:tcW w:w="3544" w:type="dxa"/>
            <w:tcBorders/>
          </w:tcPr>
          <w:p>
            <w:pPr>
              <w:pStyle w:val="Normal"/>
              <w:spacing w:before="0" w:after="120"/>
              <w:rPr>
                <w:sz w:val="22"/>
                <w:lang w:val="en-US"/>
              </w:rPr>
            </w:pPr>
            <w:r>
              <w:rPr>
                <w:sz w:val="22"/>
                <w:lang w:val="en-US"/>
              </w:rPr>
              <w:t>A copy of the annual and quarterly report for such party and the Credit Support Provider (if applicable), containing audited or certified financial statements for the most recently ended financial period.</w:t>
            </w:r>
          </w:p>
        </w:tc>
        <w:tc>
          <w:tcPr>
            <w:tcW w:w="2126" w:type="dxa"/>
            <w:tcBorders/>
          </w:tcPr>
          <w:p>
            <w:pPr>
              <w:pStyle w:val="Normal"/>
              <w:spacing w:before="0" w:after="120"/>
              <w:rPr>
                <w:sz w:val="22"/>
                <w:lang w:val="en-US"/>
              </w:rPr>
            </w:pPr>
            <w:r>
              <w:rPr>
                <w:sz w:val="22"/>
                <w:lang w:val="en-US"/>
              </w:rPr>
              <w:t>Promptly following written request, when publicly available (but in any event not later than 120 days after the end of the relevant fiscal period).</w:t>
            </w:r>
          </w:p>
        </w:tc>
        <w:tc>
          <w:tcPr>
            <w:tcW w:w="1701" w:type="dxa"/>
            <w:tcBorders/>
          </w:tcPr>
          <w:p>
            <w:pPr>
              <w:pStyle w:val="Normal"/>
              <w:spacing w:before="0" w:after="120"/>
              <w:jc w:val="center"/>
              <w:rPr>
                <w:sz w:val="22"/>
                <w:lang w:val="en-US"/>
              </w:rPr>
            </w:pPr>
            <w:r>
              <w:rPr>
                <w:sz w:val="22"/>
                <w:lang w:val="en-US"/>
              </w:rPr>
              <w:t>Yes</w:t>
            </w:r>
          </w:p>
        </w:tc>
      </w:tr>
    </w:tbl>
    <w:p>
      <w:pPr>
        <w:pStyle w:val="Normal"/>
        <w:rPr>
          <w:sz w:val="22"/>
          <w:lang w:val="en-US"/>
        </w:rPr>
      </w:pPr>
      <w:r>
        <w:rPr>
          <w:sz w:val="22"/>
          <w:lang w:val="en-US"/>
        </w:rPr>
      </w:r>
    </w:p>
    <w:p>
      <w:pPr>
        <w:pStyle w:val="Normal"/>
        <w:rPr>
          <w:sz w:val="22"/>
          <w:lang w:val="en-US"/>
        </w:rPr>
      </w:pPr>
      <w:r>
        <w:rPr>
          <w:sz w:val="22"/>
          <w:lang w:val="en-US"/>
        </w:rPr>
      </w:r>
    </w:p>
    <w:p>
      <w:pPr>
        <w:pStyle w:val="Normal"/>
        <w:rPr>
          <w:b/>
          <w:sz w:val="22"/>
          <w:lang w:val="en-US"/>
        </w:rPr>
      </w:pPr>
      <w:r>
        <w:rPr>
          <w:b/>
          <w:sz w:val="22"/>
          <w:lang w:val="en-US"/>
        </w:rPr>
      </w:r>
    </w:p>
    <w:p>
      <w:pPr>
        <w:pStyle w:val="Normal"/>
        <w:rPr>
          <w:b/>
          <w:sz w:val="22"/>
          <w:lang w:val="en-US"/>
        </w:rPr>
      </w:pPr>
      <w:r>
        <w:rPr>
          <w:b/>
          <w:sz w:val="22"/>
          <w:lang w:val="en-US"/>
        </w:rPr>
        <w:t>Part 4.</w:t>
        <w:tab/>
        <w:t>Miscellaneous</w:t>
      </w:r>
    </w:p>
    <w:p>
      <w:pPr>
        <w:pStyle w:val="Normal"/>
        <w:rPr>
          <w:b/>
          <w:sz w:val="22"/>
          <w:lang w:val="en-US"/>
        </w:rPr>
      </w:pPr>
      <w:r>
        <w:rPr>
          <w:b/>
          <w:sz w:val="22"/>
          <w:lang w:val="en-US"/>
        </w:rPr>
      </w:r>
    </w:p>
    <w:p>
      <w:pPr>
        <w:pStyle w:val="Normal"/>
        <w:rPr>
          <w:sz w:val="22"/>
          <w:lang w:val="en-US"/>
        </w:rPr>
      </w:pPr>
      <w:r>
        <w:rPr>
          <w:sz w:val="22"/>
          <w:lang w:val="en-US"/>
        </w:rPr>
      </w:r>
    </w:p>
    <w:p>
      <w:pPr>
        <w:pStyle w:val="Normal"/>
        <w:rPr/>
      </w:pPr>
      <w:r>
        <w:rPr>
          <w:sz w:val="22"/>
          <w:lang w:val="en-US"/>
        </w:rPr>
        <w:t>(a)</w:t>
        <w:tab/>
      </w:r>
      <w:r>
        <w:rPr>
          <w:b/>
          <w:i/>
          <w:sz w:val="22"/>
          <w:lang w:val="en-US"/>
        </w:rPr>
        <w:t>Addressed for Notices</w:t>
      </w:r>
      <w:r>
        <w:rPr>
          <w:i/>
          <w:sz w:val="22"/>
          <w:lang w:val="en-US"/>
        </w:rPr>
        <w:t xml:space="preserve">.  </w:t>
      </w:r>
      <w:r>
        <w:rPr>
          <w:sz w:val="22"/>
          <w:lang w:val="en-US"/>
        </w:rPr>
        <w:t>For the purpose of Section 12(a) of this Agreement:</w:t>
      </w:r>
    </w:p>
    <w:p>
      <w:pPr>
        <w:pStyle w:val="Normal"/>
        <w:rPr>
          <w:sz w:val="22"/>
          <w:lang w:val="en-US"/>
        </w:rPr>
      </w:pPr>
      <w:r>
        <w:rPr>
          <w:sz w:val="22"/>
          <w:lang w:val="en-US"/>
        </w:rPr>
      </w:r>
    </w:p>
    <w:p>
      <w:pPr>
        <w:pStyle w:val="Normal"/>
        <w:rPr>
          <w:sz w:val="22"/>
          <w:lang w:val="en-US"/>
        </w:rPr>
      </w:pPr>
      <w:r>
        <w:rPr>
          <w:sz w:val="22"/>
          <w:lang w:val="en-US"/>
        </w:rPr>
        <w:tab/>
        <w:t>Address for notices or communications to Party A:</w:t>
      </w:r>
    </w:p>
    <w:p>
      <w:pPr>
        <w:pStyle w:val="Normal"/>
        <w:rPr>
          <w:sz w:val="22"/>
          <w:lang w:val="en-US"/>
        </w:rPr>
      </w:pPr>
      <w:r>
        <w:rPr>
          <w:sz w:val="22"/>
          <w:lang w:val="en-US"/>
        </w:rPr>
      </w:r>
    </w:p>
    <w:p>
      <w:pPr>
        <w:pStyle w:val="Normal"/>
        <w:rPr>
          <w:sz w:val="22"/>
          <w:lang w:val="en-US"/>
        </w:rPr>
      </w:pPr>
      <w:r>
        <w:rPr>
          <w:sz w:val="22"/>
          <w:lang w:val="en-US"/>
        </w:rPr>
        <w:tab/>
        <w:t>Address:</w:t>
        <w:tab/>
        <w:t>............................................................................................................................................</w:t>
      </w:r>
    </w:p>
    <w:p>
      <w:pPr>
        <w:pStyle w:val="Normal"/>
        <w:rPr>
          <w:sz w:val="22"/>
          <w:lang w:val="en-US"/>
        </w:rPr>
      </w:pPr>
      <w:r>
        <w:rPr>
          <w:sz w:val="22"/>
          <w:lang w:val="en-US"/>
        </w:rPr>
        <w:tab/>
        <w:t>Attention:............................................................................................................................</w:t>
      </w:r>
    </w:p>
    <w:p>
      <w:pPr>
        <w:pStyle w:val="Normal"/>
        <w:rPr>
          <w:sz w:val="22"/>
          <w:lang w:val="en-US"/>
        </w:rPr>
      </w:pPr>
      <w:r>
        <w:rPr>
          <w:sz w:val="22"/>
          <w:lang w:val="en-US"/>
        </w:rPr>
        <w:tab/>
        <w:t>Telex N°:...........................................................Answerback</w:t>
      </w:r>
    </w:p>
    <w:p>
      <w:pPr>
        <w:pStyle w:val="Normal"/>
        <w:rPr>
          <w:sz w:val="22"/>
          <w:lang w:val="en-US"/>
        </w:rPr>
      </w:pPr>
      <w:r>
        <w:rPr>
          <w:sz w:val="22"/>
          <w:lang w:val="en-US"/>
        </w:rPr>
        <w:tab/>
        <w:t>Facsimile  N°:...................................................Telephone N°:.................................</w:t>
      </w:r>
    </w:p>
    <w:p>
      <w:pPr>
        <w:pStyle w:val="Normal"/>
        <w:rPr>
          <w:sz w:val="22"/>
          <w:lang w:val="en-US"/>
        </w:rPr>
      </w:pPr>
      <w:r>
        <w:rPr>
          <w:sz w:val="22"/>
          <w:lang w:val="en-US"/>
        </w:rPr>
        <w:tab/>
        <w:t>Electronic Messaging System Details:......................................................................</w:t>
      </w:r>
    </w:p>
    <w:p>
      <w:pPr>
        <w:pStyle w:val="Normal"/>
        <w:rPr>
          <w:sz w:val="22"/>
          <w:lang w:val="en-US"/>
        </w:rPr>
      </w:pPr>
      <w:r>
        <w:rPr>
          <w:sz w:val="22"/>
          <w:lang w:val="en-US"/>
        </w:rPr>
      </w:r>
    </w:p>
    <w:p>
      <w:pPr>
        <w:pStyle w:val="Normal"/>
        <w:rPr>
          <w:sz w:val="22"/>
          <w:lang w:val="en-US"/>
        </w:rPr>
      </w:pPr>
      <w:r>
        <w:rPr>
          <w:sz w:val="22"/>
          <w:lang w:val="en-US"/>
        </w:rPr>
      </w:r>
    </w:p>
    <w:p>
      <w:pPr>
        <w:pStyle w:val="Normal"/>
        <w:rPr>
          <w:sz w:val="22"/>
          <w:lang w:val="en-US"/>
        </w:rPr>
      </w:pPr>
      <w:r>
        <w:rPr>
          <w:sz w:val="22"/>
          <w:lang w:val="en-US"/>
        </w:rPr>
        <w:tab/>
        <w:t>Address for notices or communications to Party B:</w:t>
      </w:r>
    </w:p>
    <w:p>
      <w:pPr>
        <w:pStyle w:val="Normal"/>
        <w:rPr>
          <w:sz w:val="22"/>
          <w:lang w:val="en-US"/>
        </w:rPr>
      </w:pPr>
      <w:r>
        <w:rPr>
          <w:sz w:val="22"/>
          <w:lang w:val="en-US"/>
        </w:rPr>
      </w:r>
    </w:p>
    <w:p>
      <w:pPr>
        <w:pStyle w:val="Normal"/>
        <w:rPr>
          <w:sz w:val="22"/>
          <w:lang w:val="en-US"/>
        </w:rPr>
      </w:pPr>
      <w:r>
        <w:rPr>
          <w:sz w:val="22"/>
          <w:lang w:val="en-US"/>
        </w:rPr>
        <w:tab/>
        <w:t>Address:</w:t>
        <w:tab/>
        <w:t>Maipú 1, Piso 22 Buenos Aires Zip code: 1599, Argentina</w:t>
      </w:r>
    </w:p>
    <w:p>
      <w:pPr>
        <w:pStyle w:val="Normal"/>
        <w:rPr>
          <w:sz w:val="22"/>
          <w:lang w:val="en-US"/>
        </w:rPr>
      </w:pPr>
      <w:r>
        <w:rPr>
          <w:sz w:val="22"/>
          <w:lang w:val="en-US"/>
        </w:rPr>
        <w:tab/>
        <w:t>Attention: Gabriel Marchione.</w:t>
      </w:r>
    </w:p>
    <w:p>
      <w:pPr>
        <w:pStyle w:val="Normal"/>
        <w:rPr>
          <w:sz w:val="22"/>
          <w:lang w:val="en-US"/>
        </w:rPr>
      </w:pPr>
      <w:r>
        <w:rPr>
          <w:sz w:val="22"/>
          <w:lang w:val="en-US"/>
        </w:rPr>
        <w:tab/>
        <w:t>Telex No 17211. Answerback: PECOM AR.</w:t>
      </w:r>
    </w:p>
    <w:p>
      <w:pPr>
        <w:pStyle w:val="Normal"/>
        <w:rPr>
          <w:sz w:val="22"/>
          <w:lang w:val="en-US"/>
        </w:rPr>
      </w:pPr>
      <w:r>
        <w:rPr>
          <w:sz w:val="22"/>
          <w:lang w:val="en-US"/>
        </w:rPr>
        <w:tab/>
        <w:t>Facsimile N°: 541-331-6051.  Telephone N°: 541-331-5091; 334-2710; 334-4319.</w:t>
      </w:r>
    </w:p>
    <w:p>
      <w:pPr>
        <w:pStyle w:val="Normal"/>
        <w:rPr>
          <w:sz w:val="22"/>
          <w:lang w:val="en-US"/>
        </w:rPr>
      </w:pPr>
      <w:r>
        <w:rPr>
          <w:sz w:val="22"/>
          <w:lang w:val="en-US"/>
        </w:rPr>
        <w:tab/>
        <w:t>Electronic Messaging System Details: gmarchio@pecom.com.ar</w:t>
      </w:r>
    </w:p>
    <w:p>
      <w:pPr>
        <w:pStyle w:val="Normal"/>
        <w:rPr>
          <w:sz w:val="22"/>
          <w:lang w:val="en-US"/>
        </w:rPr>
      </w:pPr>
      <w:r>
        <w:rPr>
          <w:sz w:val="22"/>
          <w:lang w:val="en-US"/>
        </w:rPr>
      </w:r>
    </w:p>
    <w:p>
      <w:pPr>
        <w:pStyle w:val="Normal"/>
        <w:rPr>
          <w:sz w:val="22"/>
          <w:lang w:val="en-US"/>
        </w:rPr>
      </w:pPr>
      <w:r>
        <w:rPr>
          <w:sz w:val="22"/>
          <w:lang w:val="en-US"/>
        </w:rPr>
      </w:r>
    </w:p>
    <w:p>
      <w:pPr>
        <w:pStyle w:val="Normal"/>
        <w:rPr/>
      </w:pPr>
      <w:r>
        <w:rPr>
          <w:sz w:val="22"/>
          <w:lang w:val="en-US"/>
        </w:rPr>
        <w:t>(b)</w:t>
        <w:tab/>
      </w:r>
      <w:r>
        <w:rPr>
          <w:b/>
          <w:i/>
          <w:sz w:val="22"/>
          <w:lang w:val="en-US"/>
        </w:rPr>
        <w:t>Process Agent.</w:t>
      </w:r>
      <w:r>
        <w:rPr>
          <w:sz w:val="22"/>
          <w:lang w:val="en-US"/>
        </w:rPr>
        <w:t xml:space="preserve"> For the purpose of Section 13 (c) of this Agreement:</w:t>
      </w:r>
    </w:p>
    <w:p>
      <w:pPr>
        <w:pStyle w:val="Normal"/>
        <w:rPr>
          <w:sz w:val="22"/>
          <w:lang w:val="en-US"/>
        </w:rPr>
      </w:pPr>
      <w:r>
        <w:rPr>
          <w:sz w:val="22"/>
          <w:lang w:val="en-US"/>
        </w:rPr>
      </w:r>
    </w:p>
    <w:p>
      <w:pPr>
        <w:pStyle w:val="Normal"/>
        <w:ind w:start="709" w:end="0"/>
        <w:rPr>
          <w:sz w:val="22"/>
          <w:lang w:val="en-US"/>
        </w:rPr>
      </w:pPr>
      <w:r>
        <w:rPr>
          <w:sz w:val="22"/>
          <w:lang w:val="en-US"/>
        </w:rPr>
        <w:t>Party B appoints as its Process Agent: CT Corporation System, having an office in New York, on the date of this Agreement at 1633 Broadway.</w:t>
      </w:r>
    </w:p>
    <w:p>
      <w:pPr>
        <w:pStyle w:val="Normal"/>
        <w:rPr>
          <w:sz w:val="22"/>
          <w:lang w:val="en-US"/>
        </w:rPr>
      </w:pPr>
      <w:r>
        <w:rPr>
          <w:sz w:val="22"/>
          <w:lang w:val="en-US"/>
        </w:rPr>
      </w:r>
    </w:p>
    <w:p>
      <w:pPr>
        <w:pStyle w:val="Normal"/>
        <w:rPr>
          <w:sz w:val="22"/>
          <w:lang w:val="en-US"/>
        </w:rPr>
      </w:pPr>
      <w:r>
        <w:rPr>
          <w:sz w:val="22"/>
          <w:lang w:val="en-US"/>
        </w:rPr>
      </w:r>
    </w:p>
    <w:p>
      <w:pPr>
        <w:pStyle w:val="Normal"/>
        <w:rPr/>
      </w:pPr>
      <w:r>
        <w:rPr>
          <w:sz w:val="22"/>
          <w:lang w:val="en-US"/>
        </w:rPr>
        <w:t>(c)</w:t>
        <w:tab/>
      </w:r>
      <w:r>
        <w:rPr>
          <w:b/>
          <w:i/>
          <w:sz w:val="22"/>
          <w:lang w:val="en-US"/>
        </w:rPr>
        <w:t>Offices.</w:t>
      </w:r>
      <w:r>
        <w:rPr>
          <w:sz w:val="22"/>
          <w:lang w:val="en-US"/>
        </w:rPr>
        <w:t xml:space="preserve"> The provisions of Sections of Section 10 (a) will apply to this Agreement.</w:t>
      </w:r>
    </w:p>
    <w:p>
      <w:pPr>
        <w:pStyle w:val="Normal"/>
        <w:rPr>
          <w:sz w:val="22"/>
          <w:lang w:val="en-US"/>
        </w:rPr>
      </w:pPr>
      <w:r>
        <w:rPr>
          <w:sz w:val="22"/>
          <w:lang w:val="en-US"/>
        </w:rPr>
      </w:r>
    </w:p>
    <w:p>
      <w:pPr>
        <w:pStyle w:val="Normal"/>
        <w:rPr>
          <w:sz w:val="22"/>
          <w:lang w:val="en-US"/>
        </w:rPr>
      </w:pPr>
      <w:r>
        <w:rPr>
          <w:sz w:val="22"/>
          <w:lang w:val="en-US"/>
        </w:rPr>
      </w:r>
    </w:p>
    <w:p>
      <w:pPr>
        <w:pStyle w:val="Normal"/>
        <w:rPr/>
      </w:pPr>
      <w:r>
        <w:rPr>
          <w:sz w:val="22"/>
          <w:lang w:val="en-US"/>
        </w:rPr>
        <w:t>(d)</w:t>
        <w:tab/>
      </w:r>
      <w:r>
        <w:rPr>
          <w:b/>
          <w:i/>
          <w:sz w:val="22"/>
          <w:lang w:val="en-US"/>
        </w:rPr>
        <w:t xml:space="preserve">Multibranch Party. </w:t>
      </w:r>
      <w:r>
        <w:rPr>
          <w:sz w:val="22"/>
          <w:lang w:val="en-US"/>
        </w:rPr>
        <w:t>For the purpose of Section 10(c) of this Agreement:</w:t>
      </w:r>
    </w:p>
    <w:p>
      <w:pPr>
        <w:pStyle w:val="Normal"/>
        <w:rPr>
          <w:sz w:val="22"/>
          <w:lang w:val="en-US"/>
        </w:rPr>
      </w:pPr>
      <w:r>
        <w:rPr>
          <w:sz w:val="22"/>
          <w:lang w:val="en-US"/>
        </w:rPr>
      </w:r>
    </w:p>
    <w:p>
      <w:pPr>
        <w:pStyle w:val="Normal"/>
        <w:ind w:hanging="709" w:start="709" w:end="0"/>
        <w:rPr>
          <w:sz w:val="22"/>
          <w:lang w:val="en-US"/>
        </w:rPr>
      </w:pPr>
      <w:r>
        <w:rPr>
          <w:sz w:val="22"/>
          <w:lang w:val="en-US"/>
        </w:rPr>
        <w:tab/>
        <w:t>Party A is/is not* a Multibranch Party and, if so, may act through the following Offices:</w:t>
      </w:r>
    </w:p>
    <w:p>
      <w:pPr>
        <w:pStyle w:val="Normal"/>
        <w:rPr>
          <w:sz w:val="22"/>
          <w:lang w:val="en-US"/>
        </w:rPr>
      </w:pPr>
      <w:r>
        <w:rPr>
          <w:sz w:val="22"/>
          <w:lang w:val="en-US"/>
        </w:rPr>
      </w:r>
    </w:p>
    <w:p>
      <w:pPr>
        <w:pStyle w:val="Normal"/>
        <w:rPr>
          <w:sz w:val="22"/>
          <w:lang w:val="en-US"/>
        </w:rPr>
      </w:pPr>
      <w:r>
        <w:rPr>
          <w:sz w:val="22"/>
          <w:lang w:val="en-US"/>
        </w:rPr>
        <w:tab/>
        <w:t>Party B is not a Multibranch Party.</w:t>
      </w:r>
    </w:p>
    <w:p>
      <w:pPr>
        <w:pStyle w:val="Normal"/>
        <w:rPr>
          <w:sz w:val="22"/>
          <w:lang w:val="en-US"/>
        </w:rPr>
      </w:pPr>
      <w:r>
        <w:rPr>
          <w:sz w:val="22"/>
          <w:lang w:val="en-US"/>
        </w:rPr>
      </w:r>
    </w:p>
    <w:p>
      <w:pPr>
        <w:pStyle w:val="Normal"/>
        <w:rPr>
          <w:sz w:val="22"/>
          <w:lang w:val="en-US"/>
        </w:rPr>
      </w:pPr>
      <w:r>
        <w:rPr>
          <w:sz w:val="22"/>
          <w:lang w:val="en-US"/>
        </w:rPr>
      </w:r>
    </w:p>
    <w:p>
      <w:pPr>
        <w:pStyle w:val="Normal"/>
        <w:ind w:hanging="709" w:start="709" w:end="0"/>
        <w:rPr/>
      </w:pPr>
      <w:r>
        <w:rPr>
          <w:sz w:val="22"/>
          <w:lang w:val="en-US"/>
        </w:rPr>
        <w:t>(e)</w:t>
        <w:tab/>
      </w:r>
      <w:r>
        <w:rPr>
          <w:b/>
          <w:i/>
          <w:sz w:val="22"/>
          <w:lang w:val="en-US"/>
        </w:rPr>
        <w:t>Calculation Agent.</w:t>
      </w:r>
      <w:r>
        <w:rPr>
          <w:sz w:val="22"/>
          <w:lang w:val="en-US"/>
        </w:rPr>
        <w:t xml:space="preserve"> The Calculation Agent is Party A, unless otherwise specified in a Confirmation in relation to the relevant Transaction. If (i) an Event of Default or a Potential Event of Default with respect to a party acting as the Calculation Agent has occurred and is continuing or (2) a failure of a party acting as the Calculation Agent to comply with or perform any of its agreements or obligations under this Agreement in that capacity has occurred and is continuing, then, the other party will have the right, upon notice to the current Calculation Agent, to designate itself or a third party as the Calculation Agent for as long as such Event or Default, Potential Event of Default or failure continues.</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r>
    </w:p>
    <w:p>
      <w:pPr>
        <w:pStyle w:val="Normal"/>
        <w:ind w:hanging="709" w:start="709" w:end="0"/>
        <w:rPr/>
      </w:pPr>
      <w:r>
        <w:rPr>
          <w:sz w:val="22"/>
          <w:lang w:val="en-US"/>
        </w:rPr>
        <w:t>(f)</w:t>
        <w:tab/>
      </w:r>
      <w:r>
        <w:rPr>
          <w:b/>
          <w:i/>
          <w:sz w:val="22"/>
          <w:lang w:val="en-US"/>
        </w:rPr>
        <w:t>Credit Support Document.</w:t>
      </w:r>
      <w:r>
        <w:rPr>
          <w:sz w:val="22"/>
          <w:lang w:val="en-US"/>
        </w:rPr>
        <w:t xml:space="preserve">  Details of any credit support document:</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tab/>
        <w:t>(i) The guarantee of ................in favor of Party B dated .................... shall be a Credit Support Document of Party A;</w:t>
        <w:tab/>
      </w:r>
    </w:p>
    <w:p>
      <w:pPr>
        <w:pStyle w:val="Normal"/>
        <w:ind w:hanging="709" w:start="709" w:end="0"/>
        <w:rPr>
          <w:sz w:val="22"/>
          <w:lang w:val="en-US"/>
        </w:rPr>
      </w:pPr>
      <w:r>
        <w:rPr>
          <w:sz w:val="22"/>
          <w:lang w:val="en-US"/>
        </w:rPr>
        <w:tab/>
        <w:t>(ii) The 1994 ISDA Credit Support Annex to this Schedule dated as of the date hereof.</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r>
    </w:p>
    <w:p>
      <w:pPr>
        <w:pStyle w:val="Normal"/>
        <w:ind w:hanging="709" w:start="709" w:end="0"/>
        <w:rPr/>
      </w:pPr>
      <w:r>
        <w:rPr>
          <w:sz w:val="22"/>
          <w:lang w:val="en-US"/>
        </w:rPr>
        <w:t>(g)</w:t>
        <w:tab/>
      </w:r>
      <w:r>
        <w:rPr>
          <w:b/>
          <w:i/>
          <w:sz w:val="22"/>
          <w:lang w:val="en-US"/>
        </w:rPr>
        <w:t>Credit Support Provider.</w:t>
      </w:r>
      <w:r>
        <w:rPr>
          <w:sz w:val="22"/>
          <w:lang w:val="en-US"/>
        </w:rPr>
        <w:t xml:space="preserve"> </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tab/>
        <w:t>Credit Support Provider means in relation to Party A, .................... .</w:t>
      </w:r>
    </w:p>
    <w:p>
      <w:pPr>
        <w:pStyle w:val="Normal"/>
        <w:ind w:hanging="709" w:start="709" w:end="0"/>
        <w:rPr>
          <w:sz w:val="22"/>
          <w:lang w:val="en-US"/>
        </w:rPr>
      </w:pPr>
      <w:r>
        <w:rPr>
          <w:sz w:val="22"/>
          <w:lang w:val="en-US"/>
        </w:rPr>
        <w:tab/>
        <w:t>Credit Support Provider means in relation to Party B, none.</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r>
    </w:p>
    <w:p>
      <w:pPr>
        <w:pStyle w:val="Normal"/>
        <w:ind w:hanging="709" w:start="709" w:end="0"/>
        <w:rPr/>
      </w:pPr>
      <w:r>
        <w:rPr>
          <w:sz w:val="22"/>
          <w:lang w:val="en-US"/>
        </w:rPr>
        <w:t>(h)</w:t>
        <w:tab/>
      </w:r>
      <w:r>
        <w:rPr>
          <w:b/>
          <w:i/>
          <w:sz w:val="22"/>
          <w:lang w:val="en-US"/>
        </w:rPr>
        <w:t xml:space="preserve">Governing Law. </w:t>
      </w:r>
      <w:r>
        <w:rPr>
          <w:sz w:val="22"/>
          <w:lang w:val="en-US"/>
        </w:rPr>
        <w:t>This Agreement will be governed by and construed in accordance with the laws of the State of New York (without reference to choice of law doctrine). The parties hereto agree to submit to the exclusive jurisdiction of the State and Federal Courts located in New York City, Borough of Manhattan, in connection with any action or other proceeding relating to any Transaction, provided that any such action or proceeding shall be brought in such Federal Courts if Federal jurisdiction exists, and Section 13(b)(i) is amended accordingly.</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r>
    </w:p>
    <w:p>
      <w:pPr>
        <w:pStyle w:val="Normal"/>
        <w:ind w:hanging="709" w:start="709" w:end="0"/>
        <w:rPr/>
      </w:pPr>
      <w:r>
        <w:rPr>
          <w:sz w:val="22"/>
          <w:lang w:val="en-US"/>
        </w:rPr>
        <w:t>(i)</w:t>
        <w:tab/>
      </w:r>
      <w:r>
        <w:rPr>
          <w:b/>
          <w:i/>
          <w:sz w:val="22"/>
          <w:lang w:val="en-US"/>
        </w:rPr>
        <w:t xml:space="preserve">Netting of Payments. </w:t>
      </w:r>
      <w:r>
        <w:rPr>
          <w:sz w:val="22"/>
          <w:lang w:val="en-US"/>
        </w:rPr>
        <w:t>Subparagraph (ii) of Section 2 (c) of this Agreement will not apply to any Transactions.</w:t>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r>
    </w:p>
    <w:p>
      <w:pPr>
        <w:pStyle w:val="Normal"/>
        <w:rPr/>
      </w:pPr>
      <w:r>
        <w:rPr>
          <w:sz w:val="22"/>
          <w:lang w:val="en-US"/>
        </w:rPr>
        <w:t>(j)</w:t>
      </w:r>
      <w:r>
        <w:rPr>
          <w:b/>
          <w:i/>
          <w:sz w:val="22"/>
          <w:lang w:val="en-US"/>
        </w:rPr>
        <w:tab/>
        <w:t>Set-Off.</w:t>
      </w:r>
    </w:p>
    <w:p>
      <w:pPr>
        <w:pStyle w:val="Normal"/>
        <w:rPr>
          <w:b/>
          <w:i/>
          <w:i/>
          <w:sz w:val="22"/>
          <w:lang w:val="en-US"/>
        </w:rPr>
      </w:pPr>
      <w:r>
        <w:rPr>
          <w:b/>
          <w:i/>
          <w:sz w:val="22"/>
          <w:lang w:val="en-US"/>
        </w:rPr>
      </w:r>
    </w:p>
    <w:p>
      <w:pPr>
        <w:pStyle w:val="Normal"/>
        <w:ind w:start="709" w:end="0"/>
        <w:rPr>
          <w:sz w:val="22"/>
          <w:lang w:val="en-US"/>
        </w:rPr>
      </w:pPr>
      <w:r>
        <w:rPr>
          <w:sz w:val="22"/>
          <w:lang w:val="en-US"/>
        </w:rPr>
        <w:t>In circumstances where:</w:t>
      </w:r>
    </w:p>
    <w:p>
      <w:pPr>
        <w:pStyle w:val="Normal"/>
        <w:ind w:start="709" w:end="0"/>
        <w:rPr>
          <w:sz w:val="22"/>
          <w:lang w:val="en-US"/>
        </w:rPr>
      </w:pPr>
      <w:r>
        <w:rPr>
          <w:sz w:val="22"/>
          <w:lang w:val="en-US"/>
        </w:rPr>
      </w:r>
    </w:p>
    <w:p>
      <w:pPr>
        <w:pStyle w:val="Normal"/>
        <w:ind w:start="709" w:end="0"/>
        <w:rPr>
          <w:sz w:val="22"/>
          <w:lang w:val="en-US"/>
        </w:rPr>
      </w:pPr>
      <w:r>
        <w:rPr>
          <w:sz w:val="22"/>
          <w:lang w:val="en-US"/>
        </w:rPr>
        <w:t>(a) there is a Defaulting Party, or</w:t>
      </w:r>
    </w:p>
    <w:p>
      <w:pPr>
        <w:pStyle w:val="Normal"/>
        <w:numPr>
          <w:ilvl w:val="0"/>
          <w:numId w:val="3"/>
        </w:numPr>
        <w:rPr>
          <w:sz w:val="22"/>
          <w:lang w:val="en-US"/>
        </w:rPr>
      </w:pPr>
      <w:r>
        <w:rPr>
          <w:sz w:val="22"/>
          <w:lang w:val="en-US"/>
        </w:rPr>
        <w:t xml:space="preserve">there is one Affected Party and a Termination Event under Section 5 (b)(iv) has occurred, </w:t>
      </w:r>
    </w:p>
    <w:p>
      <w:pPr>
        <w:pStyle w:val="Normal"/>
        <w:rPr>
          <w:sz w:val="22"/>
          <w:lang w:val="en-US"/>
        </w:rPr>
      </w:pPr>
      <w:r>
        <w:rPr>
          <w:sz w:val="22"/>
          <w:lang w:val="en-US"/>
        </w:rPr>
      </w:r>
    </w:p>
    <w:p>
      <w:pPr>
        <w:pStyle w:val="Normal"/>
        <w:ind w:start="709" w:end="0"/>
        <w:rPr>
          <w:sz w:val="22"/>
          <w:lang w:val="en-US"/>
        </w:rPr>
      </w:pPr>
      <w:r>
        <w:rPr>
          <w:sz w:val="22"/>
          <w:lang w:val="en-US"/>
        </w:rPr>
        <w:t>(any such person ("Y")); then</w:t>
      </w:r>
    </w:p>
    <w:p>
      <w:pPr>
        <w:pStyle w:val="Normal"/>
        <w:ind w:start="709" w:end="0"/>
        <w:rPr>
          <w:sz w:val="22"/>
          <w:lang w:val="en-US"/>
        </w:rPr>
      </w:pPr>
      <w:r>
        <w:rPr>
          <w:sz w:val="22"/>
          <w:lang w:val="en-US"/>
        </w:rPr>
      </w:r>
    </w:p>
    <w:p>
      <w:pPr>
        <w:pStyle w:val="Normal"/>
        <w:ind w:start="709" w:end="0"/>
        <w:rPr>
          <w:sz w:val="22"/>
          <w:lang w:val="en-US"/>
        </w:rPr>
      </w:pPr>
      <w:r>
        <w:rPr>
          <w:sz w:val="22"/>
          <w:lang w:val="en-US"/>
        </w:rPr>
        <w:t>the other party ("X") will have the right to reduce any amount payable to Y under any other agreement by its set-off against the amount that X is entitled to receive pursuant Section 6(e) of this Agreement. X will give notice to Y of any set-off effected, and Y hereby recognizes that any such notice will be sufficient prove of payment under the relevant agreement involved.</w:t>
      </w:r>
    </w:p>
    <w:p>
      <w:pPr>
        <w:pStyle w:val="Normal"/>
        <w:ind w:start="709" w:end="0"/>
        <w:rPr>
          <w:sz w:val="22"/>
          <w:lang w:val="en-US"/>
        </w:rPr>
      </w:pPr>
      <w:r>
        <w:rPr>
          <w:sz w:val="22"/>
          <w:lang w:val="en-US"/>
        </w:rPr>
      </w:r>
    </w:p>
    <w:p>
      <w:pPr>
        <w:pStyle w:val="Normal"/>
        <w:ind w:start="709" w:end="0"/>
        <w:rPr>
          <w:sz w:val="22"/>
          <w:lang w:val="en-US"/>
        </w:rPr>
      </w:pPr>
      <w:r>
        <w:rPr>
          <w:sz w:val="22"/>
          <w:lang w:val="en-US"/>
        </w:rPr>
        <w:t>For this purpose, any amount may be converted by X into the currency in which the other is denominated at the rate of exchange at which such party would be able, acting in a reasonable manner and in good faith, to purchase the relevant amount of such currency.</w:t>
      </w:r>
    </w:p>
    <w:p>
      <w:pPr>
        <w:pStyle w:val="Normal"/>
        <w:rPr>
          <w:sz w:val="22"/>
          <w:lang w:val="en-US"/>
        </w:rPr>
      </w:pPr>
      <w:r>
        <w:rPr>
          <w:sz w:val="22"/>
          <w:lang w:val="en-US"/>
        </w:rPr>
      </w:r>
    </w:p>
    <w:p>
      <w:pPr>
        <w:pStyle w:val="Normal"/>
        <w:ind w:hanging="709" w:start="709" w:end="0"/>
        <w:rPr>
          <w:sz w:val="22"/>
          <w:lang w:val="en-US"/>
        </w:rPr>
      </w:pPr>
      <w:r>
        <w:rPr>
          <w:sz w:val="22"/>
          <w:lang w:val="en-US"/>
        </w:rPr>
      </w:r>
    </w:p>
    <w:p>
      <w:pPr>
        <w:pStyle w:val="Normal"/>
        <w:ind w:hanging="709" w:start="709" w:end="0"/>
        <w:rPr>
          <w:sz w:val="22"/>
          <w:lang w:val="en-US"/>
        </w:rPr>
      </w:pPr>
      <w:r>
        <w:rPr>
          <w:sz w:val="22"/>
          <w:lang w:val="en-US"/>
        </w:rPr>
      </w:r>
    </w:p>
    <w:p>
      <w:pPr>
        <w:pStyle w:val="Normal"/>
        <w:ind w:hanging="709" w:start="709" w:end="0"/>
        <w:rPr/>
      </w:pPr>
      <w:r>
        <w:rPr>
          <w:sz w:val="22"/>
          <w:lang w:val="en-US"/>
        </w:rPr>
        <w:t xml:space="preserve">Part 5. </w:t>
      </w:r>
      <w:r>
        <w:rPr>
          <w:b/>
          <w:sz w:val="22"/>
          <w:lang w:val="en-US"/>
        </w:rPr>
        <w:t>Other Provisions.</w:t>
      </w:r>
    </w:p>
    <w:p>
      <w:pPr>
        <w:pStyle w:val="Normal"/>
        <w:ind w:hanging="709" w:start="709" w:end="0"/>
        <w:rPr>
          <w:b/>
          <w:sz w:val="22"/>
          <w:lang w:val="en-US"/>
        </w:rPr>
      </w:pPr>
      <w:r>
        <w:rPr>
          <w:b/>
          <w:sz w:val="22"/>
          <w:lang w:val="en-US"/>
        </w:rPr>
      </w:r>
    </w:p>
    <w:p>
      <w:pPr>
        <w:pStyle w:val="Normal"/>
        <w:rPr>
          <w:b/>
          <w:sz w:val="22"/>
          <w:lang w:val="en-US"/>
        </w:rPr>
      </w:pPr>
      <w:r>
        <w:rPr>
          <w:b/>
          <w:sz w:val="22"/>
          <w:lang w:val="en-US"/>
        </w:rPr>
      </w:r>
    </w:p>
    <w:p>
      <w:pPr>
        <w:pStyle w:val="Normal"/>
        <w:rPr/>
      </w:pPr>
      <w:r>
        <w:rPr>
          <w:sz w:val="22"/>
          <w:lang w:val="en-US"/>
        </w:rPr>
        <w:t xml:space="preserve">(a) </w:t>
      </w:r>
      <w:r>
        <w:rPr>
          <w:b/>
          <w:sz w:val="22"/>
          <w:lang w:val="en-US"/>
        </w:rPr>
        <w:t>Conditions Precedent</w:t>
      </w:r>
      <w:r>
        <w:rPr>
          <w:sz w:val="22"/>
          <w:lang w:val="en-US"/>
        </w:rPr>
        <w:t xml:space="preserve">. </w:t>
      </w:r>
    </w:p>
    <w:p>
      <w:pPr>
        <w:pStyle w:val="Normal"/>
        <w:rPr>
          <w:sz w:val="22"/>
          <w:lang w:val="en-US"/>
        </w:rPr>
      </w:pPr>
      <w:r>
        <w:rPr>
          <w:sz w:val="22"/>
          <w:lang w:val="en-US"/>
        </w:rPr>
      </w:r>
    </w:p>
    <w:p>
      <w:pPr>
        <w:pStyle w:val="Normal"/>
        <w:rPr>
          <w:sz w:val="22"/>
          <w:lang w:val="en-US"/>
        </w:rPr>
      </w:pPr>
      <w:r>
        <w:rPr>
          <w:sz w:val="22"/>
          <w:lang w:val="en-US"/>
        </w:rPr>
        <w:t>The condition precedent set forth in clause (1) of Section 2(a)(iii) shall not apply to payments scheduled to be made by a party (“X”) pursuant to Section 2(a)(i) at a time when the other party (“Y”), any of its Credit Support Provider or any Affiliate of its Credit Support Provider has no further payment or delivery obligations (matured or unmatured, contingent or other) with respect to X, any of its Affiliate, its Credit Support Provider or any Affiliate of its Credit Support Provider under any Hedging Transaction (as defined in Part 1(c) of this Schedule).</w:t>
      </w:r>
    </w:p>
    <w:p>
      <w:pPr>
        <w:pStyle w:val="Normal"/>
        <w:rPr>
          <w:b/>
          <w:sz w:val="22"/>
          <w:lang w:val="en-US"/>
        </w:rPr>
      </w:pPr>
      <w:r>
        <w:rPr>
          <w:b/>
          <w:sz w:val="22"/>
          <w:lang w:val="en-US"/>
        </w:rPr>
      </w:r>
    </w:p>
    <w:p>
      <w:pPr>
        <w:pStyle w:val="Normal"/>
        <w:rPr>
          <w:b/>
          <w:sz w:val="22"/>
          <w:lang w:val="en-US"/>
        </w:rPr>
      </w:pPr>
      <w:r>
        <w:rPr>
          <w:b/>
          <w:sz w:val="22"/>
          <w:lang w:val="en-US"/>
        </w:rPr>
      </w:r>
    </w:p>
    <w:p>
      <w:pPr>
        <w:pStyle w:val="Normal"/>
        <w:rPr/>
      </w:pPr>
      <w:r>
        <w:rPr>
          <w:sz w:val="22"/>
          <w:lang w:val="en-US"/>
        </w:rPr>
        <w:t xml:space="preserve">(b) </w:t>
      </w:r>
      <w:r>
        <w:rPr>
          <w:b/>
          <w:sz w:val="22"/>
          <w:lang w:val="en-US"/>
        </w:rPr>
        <w:t>Bankruptcy.</w:t>
      </w:r>
    </w:p>
    <w:p>
      <w:pPr>
        <w:pStyle w:val="Normal"/>
        <w:rPr>
          <w:b/>
          <w:sz w:val="22"/>
          <w:lang w:val="en-US"/>
        </w:rPr>
      </w:pPr>
      <w:r>
        <w:rPr>
          <w:b/>
          <w:sz w:val="22"/>
          <w:lang w:val="en-US"/>
        </w:rPr>
      </w:r>
    </w:p>
    <w:p>
      <w:pPr>
        <w:pStyle w:val="Normal"/>
        <w:rPr>
          <w:sz w:val="22"/>
          <w:lang w:val="en-US"/>
        </w:rPr>
      </w:pPr>
      <w:r>
        <w:rPr>
          <w:sz w:val="22"/>
          <w:lang w:val="en-US"/>
        </w:rPr>
        <w:t>The reference of “within 30 days of the institution or presentation thereof” in Item 4 (B), of Section 5 (a) (vii), is replaced by the following wording: “in the first legally available opportunity under appropriate procedure laws”.</w:t>
      </w:r>
    </w:p>
    <w:p>
      <w:pPr>
        <w:pStyle w:val="Normal"/>
        <w:rPr>
          <w:sz w:val="22"/>
          <w:lang w:val="en-US"/>
        </w:rPr>
      </w:pPr>
      <w:r>
        <w:rPr>
          <w:sz w:val="22"/>
          <w:lang w:val="en-US"/>
        </w:rPr>
      </w:r>
    </w:p>
    <w:p>
      <w:pPr>
        <w:pStyle w:val="Normal"/>
        <w:rPr>
          <w:sz w:val="22"/>
          <w:lang w:val="en-US"/>
        </w:rPr>
      </w:pPr>
      <w:r>
        <w:rPr>
          <w:sz w:val="22"/>
          <w:lang w:val="en-US"/>
        </w:rPr>
      </w:r>
    </w:p>
    <w:p>
      <w:pPr>
        <w:pStyle w:val="Normal"/>
        <w:rPr/>
      </w:pPr>
      <w:r>
        <w:rPr>
          <w:sz w:val="22"/>
          <w:lang w:val="en-US"/>
        </w:rPr>
        <w:t xml:space="preserve">(c) </w:t>
      </w:r>
      <w:r>
        <w:rPr>
          <w:b/>
          <w:sz w:val="22"/>
          <w:lang w:val="en-US"/>
        </w:rPr>
        <w:t>Settlement Amount</w:t>
      </w:r>
      <w:r>
        <w:rPr>
          <w:sz w:val="22"/>
          <w:lang w:val="en-US"/>
        </w:rPr>
        <w:t xml:space="preserve">. </w:t>
      </w:r>
    </w:p>
    <w:p>
      <w:pPr>
        <w:pStyle w:val="Normal"/>
        <w:rPr>
          <w:sz w:val="22"/>
          <w:lang w:val="en-US"/>
        </w:rPr>
      </w:pPr>
      <w:r>
        <w:rPr>
          <w:sz w:val="22"/>
          <w:lang w:val="en-US"/>
        </w:rPr>
      </w:r>
    </w:p>
    <w:p>
      <w:pPr>
        <w:pStyle w:val="Normal"/>
        <w:rPr>
          <w:sz w:val="22"/>
          <w:lang w:val="en-US"/>
        </w:rPr>
      </w:pPr>
      <w:r>
        <w:rPr>
          <w:sz w:val="22"/>
          <w:lang w:val="en-US"/>
        </w:rPr>
        <w:t>The definition of “Settlement Amount” in Section 14 is hereby amended by deleting in the third and fourth lines of Subparagraph (b) thereof the words “or would not (in the reasonable belief of the party making the determination) produce a commercially reasonable result”.</w:t>
      </w:r>
    </w:p>
    <w:p>
      <w:pPr>
        <w:pStyle w:val="Normal"/>
        <w:rPr>
          <w:sz w:val="22"/>
          <w:lang w:val="en-US"/>
        </w:rPr>
      </w:pPr>
      <w:r>
        <w:rPr>
          <w:sz w:val="22"/>
          <w:lang w:val="en-US"/>
        </w:rPr>
      </w:r>
    </w:p>
    <w:p>
      <w:pPr>
        <w:pStyle w:val="Normal"/>
        <w:rPr>
          <w:sz w:val="22"/>
          <w:lang w:val="en-US"/>
        </w:rPr>
      </w:pPr>
      <w:r>
        <w:rPr>
          <w:sz w:val="22"/>
          <w:lang w:val="en-US"/>
        </w:rPr>
      </w:r>
    </w:p>
    <w:p>
      <w:pPr>
        <w:pStyle w:val="Normal"/>
        <w:rPr/>
      </w:pPr>
      <w:r>
        <w:rPr>
          <w:sz w:val="22"/>
          <w:lang w:val="en-US"/>
        </w:rPr>
        <w:t xml:space="preserve">(d) </w:t>
      </w:r>
      <w:r>
        <w:rPr>
          <w:b/>
          <w:sz w:val="22"/>
          <w:lang w:val="en-US"/>
        </w:rPr>
        <w:t>Affiliate.</w:t>
      </w:r>
    </w:p>
    <w:p>
      <w:pPr>
        <w:pStyle w:val="Normal"/>
        <w:rPr>
          <w:b/>
          <w:sz w:val="22"/>
          <w:lang w:val="en-US"/>
        </w:rPr>
      </w:pPr>
      <w:r>
        <w:rPr>
          <w:b/>
          <w:sz w:val="22"/>
          <w:lang w:val="en-US"/>
        </w:rPr>
      </w:r>
    </w:p>
    <w:p>
      <w:pPr>
        <w:pStyle w:val="Normal"/>
        <w:rPr>
          <w:sz w:val="22"/>
          <w:lang w:val="en-US"/>
        </w:rPr>
      </w:pPr>
      <w:r>
        <w:rPr>
          <w:sz w:val="22"/>
          <w:lang w:val="en-US"/>
        </w:rPr>
        <w:t>Affiliate definition of Section 14 of the Agreement is amended by adding the word “legal” before the word “entity” each times it appears in the definition.</w:t>
      </w:r>
    </w:p>
    <w:p>
      <w:pPr>
        <w:pStyle w:val="Normal"/>
        <w:rPr>
          <w:sz w:val="22"/>
          <w:lang w:val="en-US"/>
        </w:rPr>
      </w:pPr>
      <w:r>
        <w:rPr>
          <w:sz w:val="22"/>
          <w:lang w:val="en-US"/>
        </w:rPr>
      </w:r>
    </w:p>
    <w:p>
      <w:pPr>
        <w:pStyle w:val="Normal"/>
        <w:rPr>
          <w:sz w:val="22"/>
          <w:lang w:val="en-US"/>
        </w:rPr>
      </w:pPr>
      <w:r>
        <w:rPr>
          <w:sz w:val="22"/>
          <w:lang w:val="en-US"/>
        </w:rPr>
      </w:r>
    </w:p>
    <w:p>
      <w:pPr>
        <w:pStyle w:val="Normal"/>
        <w:rPr/>
      </w:pPr>
      <w:r>
        <w:rPr>
          <w:sz w:val="22"/>
          <w:lang w:val="en-US"/>
        </w:rPr>
        <w:t>(e)</w:t>
      </w:r>
      <w:r>
        <w:rPr>
          <w:b/>
          <w:sz w:val="22"/>
          <w:lang w:val="en-US"/>
        </w:rPr>
        <w:t xml:space="preserve"> Procedures for entering into Transactions.</w:t>
      </w:r>
    </w:p>
    <w:p>
      <w:pPr>
        <w:pStyle w:val="Normal"/>
        <w:rPr>
          <w:b/>
          <w:sz w:val="22"/>
          <w:lang w:val="en-US"/>
        </w:rPr>
      </w:pPr>
      <w:r>
        <w:rPr>
          <w:b/>
          <w:sz w:val="22"/>
          <w:lang w:val="en-US"/>
        </w:rPr>
      </w:r>
    </w:p>
    <w:p>
      <w:pPr>
        <w:pStyle w:val="Normal"/>
        <w:rPr>
          <w:sz w:val="22"/>
          <w:lang w:val="en-US"/>
        </w:rPr>
      </w:pPr>
      <w:r>
        <w:rPr>
          <w:sz w:val="22"/>
          <w:lang w:val="en-US"/>
        </w:rPr>
        <w:t>The parties hereby replace Section 9 (e) (ii) by the following: “The parties agree that they are legally bound by the terms of each Transaction from the moment they orally (or otherwise as agreed by the parties) agree to those terms. A Confirmation of such Transaction duly manually signed by its representatives shall be sent from the Calculation Agent to the other party (the “Reconfirming Party”) within five (5) Local Business Days following the date on which the parties reach agreement on the terms of a Transaction as contemplated by the first sentence of this Section. The Reconfirming Party will reconfirm the Transaction: a) by sending a reconfirmation letter duly signed by its representatives or b) by returning to the Calculation Agent the Confirmation duly signed by its representatives. A reconfirmed Transaction, as set forth above, will be sufficient for all purposes to evidence a binding supplement to this Agreement. If the Reconfirming Party fails to reconfirm or dispute in writing the Confirmation within 15 Local Business Days after it was effectively received by the Reconfirming Party, its failure shall constitute its acknowledgment that the Confirmation correctly reflects the parties’ agreement on the terms of the Transaction referred to therein, absent manifest error or fraud. If any dispute shall arise as to whether an error exists in a Confirmation, the parties shall in good faith make reasonable efforts to resolve the dispute, provided, however, that the recorded version pursuant to paragraph (i) of this Part 5 shall be conclusive evidence with respect to its contents thereof.”</w:t>
      </w:r>
    </w:p>
    <w:p>
      <w:pPr>
        <w:pStyle w:val="Normal"/>
        <w:rPr>
          <w:sz w:val="22"/>
          <w:lang w:val="en-US"/>
        </w:rPr>
      </w:pPr>
      <w:r>
        <w:rPr>
          <w:sz w:val="22"/>
          <w:lang w:val="en-US"/>
        </w:rPr>
      </w:r>
    </w:p>
    <w:p>
      <w:pPr>
        <w:pStyle w:val="Normal"/>
        <w:rPr>
          <w:sz w:val="22"/>
          <w:lang w:val="en-US"/>
        </w:rPr>
      </w:pPr>
      <w:r>
        <w:rPr>
          <w:sz w:val="22"/>
          <w:lang w:val="en-US"/>
        </w:rPr>
      </w:r>
    </w:p>
    <w:p>
      <w:pPr>
        <w:pStyle w:val="Normal"/>
        <w:rPr>
          <w:sz w:val="22"/>
          <w:lang w:val="en-US"/>
        </w:rPr>
      </w:pPr>
      <w:r>
        <w:rPr>
          <w:sz w:val="22"/>
          <w:lang w:val="en-US"/>
        </w:rPr>
      </w:r>
    </w:p>
    <w:p>
      <w:pPr>
        <w:pStyle w:val="Normal"/>
        <w:rPr/>
      </w:pPr>
      <w:r>
        <w:rPr>
          <w:sz w:val="22"/>
          <w:lang w:val="en-US"/>
        </w:rPr>
        <w:t xml:space="preserve">(f) </w:t>
      </w:r>
      <w:r>
        <w:rPr>
          <w:b/>
          <w:sz w:val="22"/>
          <w:lang w:val="en-US"/>
        </w:rPr>
        <w:t>QFC’s</w:t>
      </w:r>
    </w:p>
    <w:p>
      <w:pPr>
        <w:pStyle w:val="Normal"/>
        <w:rPr>
          <w:b/>
          <w:sz w:val="22"/>
          <w:lang w:val="en-US"/>
        </w:rPr>
      </w:pPr>
      <w:r>
        <w:rPr>
          <w:b/>
          <w:sz w:val="22"/>
          <w:lang w:val="en-US"/>
        </w:rPr>
      </w:r>
    </w:p>
    <w:p>
      <w:pPr>
        <w:pStyle w:val="Normal"/>
        <w:rPr>
          <w:sz w:val="22"/>
          <w:lang w:val="en-US"/>
        </w:rPr>
      </w:pPr>
      <w:r>
        <w:rPr>
          <w:sz w:val="22"/>
          <w:lang w:val="en-US"/>
        </w:rPr>
        <w:t>Each party agrees that the Transactions to be entered will have the status of “Qualified Financial Contracts” pursuant with the terms of New York´s General Obligation Law # 5-701 (b), and having the enforceability effects in there provided.</w:t>
      </w:r>
    </w:p>
    <w:p>
      <w:pPr>
        <w:pStyle w:val="Normal"/>
        <w:rPr>
          <w:sz w:val="22"/>
          <w:lang w:val="en-US"/>
        </w:rPr>
      </w:pPr>
      <w:r>
        <w:rPr>
          <w:sz w:val="22"/>
          <w:lang w:val="en-US"/>
        </w:rPr>
      </w:r>
    </w:p>
    <w:p>
      <w:pPr>
        <w:pStyle w:val="Normal"/>
        <w:rPr>
          <w:sz w:val="22"/>
          <w:lang w:val="en-US"/>
        </w:rPr>
      </w:pPr>
      <w:r>
        <w:rPr>
          <w:sz w:val="22"/>
          <w:lang w:val="en-US"/>
        </w:rPr>
      </w:r>
    </w:p>
    <w:p>
      <w:pPr>
        <w:pStyle w:val="Normal"/>
        <w:rPr/>
      </w:pPr>
      <w:r>
        <w:rPr>
          <w:sz w:val="22"/>
          <w:lang w:val="en-US"/>
        </w:rPr>
        <w:t xml:space="preserve">(g) </w:t>
      </w:r>
      <w:r>
        <w:rPr>
          <w:b/>
          <w:sz w:val="22"/>
          <w:lang w:val="en-US"/>
        </w:rPr>
        <w:t>Confidentiality</w:t>
      </w:r>
      <w:r>
        <w:rPr>
          <w:sz w:val="22"/>
          <w:lang w:val="en-US"/>
        </w:rPr>
        <w:t xml:space="preserve">. </w:t>
      </w:r>
    </w:p>
    <w:p>
      <w:pPr>
        <w:pStyle w:val="Normal"/>
        <w:rPr>
          <w:sz w:val="22"/>
          <w:lang w:val="en-US"/>
        </w:rPr>
      </w:pPr>
      <w:r>
        <w:rPr>
          <w:sz w:val="22"/>
          <w:lang w:val="en-US"/>
        </w:rPr>
      </w:r>
    </w:p>
    <w:p>
      <w:pPr>
        <w:pStyle w:val="Normal"/>
        <w:rPr>
          <w:sz w:val="22"/>
          <w:lang w:val="en-US"/>
        </w:rPr>
      </w:pPr>
      <w:r>
        <w:rPr>
          <w:sz w:val="22"/>
          <w:lang w:val="en-US"/>
        </w:rPr>
        <w:t>The existence and contents of this Agreement and the Confirmations, and any information made available by one party to the other party with respect to this Agreement or any Transaction hereunder is confidential and shall not be discussed with or disclosed to any third party ,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prior consultation of the contents thereof with the other party, provided, however, that the party who intends to make such disclosure will have the right to do it if it cannot be legally avoided and only to the extent to comply with such requirement; (iii) as may be furnished to that party’s auditors, attorneys, advisors, or financial institutions with which the party has a written agreement or which are otherwise required to keep the information that is disclosed in confidence.</w:t>
      </w:r>
    </w:p>
    <w:p>
      <w:pPr>
        <w:pStyle w:val="Normal"/>
        <w:rPr>
          <w:sz w:val="22"/>
          <w:lang w:val="en-US"/>
        </w:rPr>
      </w:pPr>
      <w:r>
        <w:rPr>
          <w:sz w:val="22"/>
          <w:lang w:val="en-US"/>
        </w:rPr>
      </w:r>
    </w:p>
    <w:p>
      <w:pPr>
        <w:pStyle w:val="Normal"/>
        <w:rPr>
          <w:sz w:val="22"/>
          <w:lang w:val="en-US"/>
        </w:rPr>
      </w:pPr>
      <w:r>
        <w:rPr>
          <w:sz w:val="22"/>
          <w:lang w:val="en-US"/>
        </w:rPr>
      </w:r>
    </w:p>
    <w:p>
      <w:pPr>
        <w:pStyle w:val="Normal"/>
        <w:rPr>
          <w:sz w:val="22"/>
          <w:lang w:val="en-US"/>
        </w:rPr>
      </w:pPr>
      <w:r>
        <w:rPr>
          <w:sz w:val="22"/>
          <w:lang w:val="en-US"/>
        </w:rPr>
        <w:t xml:space="preserve">(h) </w:t>
      </w:r>
      <w:r>
        <w:rPr>
          <w:b/>
          <w:sz w:val="22"/>
          <w:lang w:val="en-US"/>
        </w:rPr>
        <w:t>Consent to Recording.</w:t>
      </w:r>
    </w:p>
    <w:p>
      <w:pPr>
        <w:pStyle w:val="Normal"/>
        <w:rPr>
          <w:sz w:val="22"/>
          <w:lang w:val="en-US"/>
        </w:rPr>
      </w:pPr>
      <w:r>
        <w:rPr>
          <w:sz w:val="22"/>
          <w:lang w:val="en-US"/>
        </w:rPr>
      </w:r>
    </w:p>
    <w:p>
      <w:pPr>
        <w:pStyle w:val="Normal"/>
        <w:rPr>
          <w:sz w:val="22"/>
          <w:lang w:val="en-US"/>
        </w:rPr>
      </w:pPr>
      <w:r>
        <w:rPr>
          <w:sz w:val="22"/>
          <w:lang w:val="en-US"/>
        </w:rPr>
        <w:t>Each party (i) consents to the recording of the telephone conversations of trading and marketing personnel of the parties in connection with this Agreement or any potential Transaction; (ii) agrees to obtain any necessary consent of, and give notice of such recording to its personnel; and (iii) agrees that any such recording may be submitted in evidence to any Court in any legal proceeding for the purpose of establishing any matter relating to this Agreement.</w:t>
      </w:r>
    </w:p>
    <w:p>
      <w:pPr>
        <w:pStyle w:val="Normal"/>
        <w:rPr>
          <w:sz w:val="22"/>
          <w:lang w:val="en-US"/>
        </w:rPr>
      </w:pPr>
      <w:r>
        <w:rPr>
          <w:sz w:val="22"/>
          <w:lang w:val="en-US"/>
        </w:rPr>
      </w:r>
    </w:p>
    <w:p>
      <w:pPr>
        <w:pStyle w:val="Normal"/>
        <w:rPr>
          <w:sz w:val="22"/>
          <w:lang w:val="en-US"/>
        </w:rPr>
      </w:pPr>
      <w:r>
        <w:rPr>
          <w:sz w:val="22"/>
          <w:lang w:val="en-US"/>
        </w:rPr>
      </w:r>
    </w:p>
    <w:p>
      <w:pPr>
        <w:pStyle w:val="Normal"/>
        <w:rPr/>
      </w:pPr>
      <w:r>
        <w:rPr>
          <w:sz w:val="22"/>
          <w:lang w:val="en-US"/>
        </w:rPr>
        <w:t xml:space="preserve">(i) </w:t>
      </w:r>
      <w:r>
        <w:rPr>
          <w:b/>
          <w:sz w:val="22"/>
          <w:lang w:val="en-US"/>
        </w:rPr>
        <w:t xml:space="preserve">Additional Provisions For Commodity Derivatives Transactions. </w:t>
      </w:r>
    </w:p>
    <w:p>
      <w:pPr>
        <w:pStyle w:val="Normal"/>
        <w:rPr>
          <w:b/>
          <w:sz w:val="22"/>
          <w:lang w:val="en-US"/>
        </w:rPr>
      </w:pPr>
      <w:r>
        <w:rPr>
          <w:b/>
          <w:sz w:val="22"/>
          <w:lang w:val="en-US"/>
        </w:rPr>
      </w:r>
    </w:p>
    <w:p>
      <w:pPr>
        <w:pStyle w:val="Normal"/>
        <w:rPr>
          <w:sz w:val="22"/>
          <w:lang w:val="en-US"/>
        </w:rPr>
      </w:pPr>
      <w:r>
        <w:rPr>
          <w:sz w:val="22"/>
          <w:lang w:val="en-US"/>
        </w:rPr>
        <w:t>The following “Disruption Fallbacks” specified in Section 7.5(c) of the 1993 ISDA Commodity Derivatives Definitions shall apply, in the following order:</w:t>
      </w:r>
    </w:p>
    <w:p>
      <w:pPr>
        <w:pStyle w:val="Normal"/>
        <w:rPr>
          <w:sz w:val="22"/>
          <w:lang w:val="en-US"/>
        </w:rPr>
      </w:pPr>
      <w:r>
        <w:rPr>
          <w:sz w:val="22"/>
          <w:lang w:val="en-US"/>
        </w:rPr>
      </w:r>
    </w:p>
    <w:p>
      <w:pPr>
        <w:pStyle w:val="Normal"/>
        <w:rPr>
          <w:sz w:val="22"/>
          <w:lang w:val="en-US"/>
        </w:rPr>
      </w:pPr>
      <w:r>
        <w:rPr>
          <w:sz w:val="22"/>
          <w:lang w:val="en-US"/>
        </w:rPr>
        <w:t>(i) “Average Daily Price Disruption”, with 1 business day as the Maximum Days of Disruption;</w:t>
      </w:r>
    </w:p>
    <w:p>
      <w:pPr>
        <w:pStyle w:val="Normal"/>
        <w:rPr>
          <w:sz w:val="22"/>
          <w:lang w:val="en-US"/>
        </w:rPr>
      </w:pPr>
      <w:r>
        <w:rPr>
          <w:sz w:val="22"/>
          <w:lang w:val="en-US"/>
        </w:rPr>
        <w:t>(ii) “Negotiated Fallback”</w:t>
      </w:r>
    </w:p>
    <w:p>
      <w:pPr>
        <w:pStyle w:val="Normal"/>
        <w:rPr>
          <w:sz w:val="22"/>
          <w:lang w:val="en-US"/>
        </w:rPr>
      </w:pPr>
      <w:r>
        <w:rPr>
          <w:sz w:val="22"/>
          <w:lang w:val="en-US"/>
        </w:rPr>
        <w:t>(iii) “Dealer Quotation”. Each party shall obtain quotes from two dealers. The “Dealer Quotation” shall be the arithmetic mean of the quotations so obtained.</w:t>
      </w:r>
    </w:p>
    <w:p>
      <w:pPr>
        <w:pStyle w:val="Normal"/>
        <w:rPr>
          <w:b/>
          <w:sz w:val="22"/>
          <w:lang w:val="en-US"/>
        </w:rPr>
      </w:pPr>
      <w:r>
        <w:rPr>
          <w:b/>
          <w:sz w:val="22"/>
          <w:lang w:val="en-US"/>
        </w:rPr>
      </w:r>
    </w:p>
    <w:p>
      <w:pPr>
        <w:pStyle w:val="Normal"/>
        <w:rPr>
          <w:b/>
          <w:sz w:val="22"/>
          <w:lang w:val="en-US"/>
        </w:rPr>
      </w:pPr>
      <w:r>
        <w:rPr>
          <w:b/>
          <w:sz w:val="22"/>
          <w:lang w:val="en-US"/>
        </w:rPr>
      </w:r>
    </w:p>
    <w:p>
      <w:pPr>
        <w:pStyle w:val="Normal"/>
        <w:rPr>
          <w:sz w:val="22"/>
          <w:lang w:val="en-US"/>
        </w:rPr>
      </w:pPr>
      <w:r>
        <w:rPr>
          <w:sz w:val="22"/>
          <w:lang w:val="en-US"/>
        </w:rPr>
        <w:t>(j)</w:t>
      </w:r>
      <w:r>
        <w:rPr>
          <w:b/>
          <w:sz w:val="22"/>
          <w:lang w:val="en-US"/>
        </w:rPr>
        <w:t xml:space="preserve"> Eligible Swap Participant.[APPLICABLE ONLY TO U.S. COUNTERPARTIES]</w:t>
      </w:r>
    </w:p>
    <w:p>
      <w:pPr>
        <w:pStyle w:val="Normal"/>
        <w:rPr>
          <w:sz w:val="22"/>
          <w:lang w:val="en-US"/>
        </w:rPr>
      </w:pPr>
      <w:r>
        <w:rPr>
          <w:sz w:val="22"/>
          <w:lang w:val="en-US"/>
        </w:rPr>
      </w:r>
    </w:p>
    <w:p>
      <w:pPr>
        <w:pStyle w:val="Normal"/>
        <w:rPr>
          <w:sz w:val="22"/>
          <w:lang w:val="en-US"/>
        </w:rPr>
      </w:pPr>
      <w:r>
        <w:rPr>
          <w:sz w:val="22"/>
          <w:lang w:val="en-US"/>
        </w:rPr>
        <w:t>Party A agrees that, in addition to the representations in Section 3 of this Agreement, it represents that it is an “eligible swap participant” as defined in Commodity Futures Trading Commission Rule 35.1(b)(2)(17 C.F.R.35.1(b).</w:t>
      </w:r>
    </w:p>
    <w:p>
      <w:pPr>
        <w:pStyle w:val="Normal"/>
        <w:rPr>
          <w:sz w:val="22"/>
          <w:lang w:val="en-US"/>
        </w:rPr>
      </w:pPr>
      <w:r>
        <w:rPr>
          <w:sz w:val="22"/>
          <w:lang w:val="en-US"/>
        </w:rPr>
      </w:r>
    </w:p>
    <w:p>
      <w:pPr>
        <w:pStyle w:val="Normal"/>
        <w:rPr>
          <w:sz w:val="22"/>
          <w:lang w:val="en-US"/>
        </w:rPr>
      </w:pPr>
      <w:r>
        <w:rPr>
          <w:sz w:val="22"/>
          <w:lang w:val="en-US"/>
        </w:rPr>
      </w:r>
    </w:p>
    <w:p>
      <w:pPr>
        <w:pStyle w:val="Normal"/>
        <w:rPr>
          <w:sz w:val="22"/>
          <w:lang w:val="en-US"/>
        </w:rPr>
      </w:pPr>
      <w:r>
        <w:rPr>
          <w:sz w:val="22"/>
          <w:lang w:val="en-US"/>
        </w:rPr>
      </w:r>
    </w:p>
    <w:p>
      <w:pPr>
        <w:pStyle w:val="Normal"/>
        <w:rPr>
          <w:sz w:val="22"/>
          <w:lang w:val="en-US"/>
        </w:rPr>
      </w:pPr>
      <w:r>
        <w:rPr>
          <w:sz w:val="22"/>
          <w:lang w:val="en-US"/>
        </w:rPr>
      </w:r>
    </w:p>
    <w:p>
      <w:pPr>
        <w:pStyle w:val="Normal"/>
        <w:rPr>
          <w:sz w:val="22"/>
          <w:lang w:val="en-US"/>
        </w:rPr>
      </w:pPr>
      <w:r>
        <w:rPr>
          <w:sz w:val="22"/>
          <w:lang w:val="en-US"/>
        </w:rPr>
      </w:r>
    </w:p>
    <w:p>
      <w:pPr>
        <w:pStyle w:val="Normal"/>
        <w:rPr>
          <w:sz w:val="22"/>
          <w:lang w:val="en-US"/>
        </w:rPr>
      </w:pPr>
      <w:r>
        <w:rPr>
          <w:sz w:val="22"/>
          <w:lang w:val="en-US"/>
        </w:rPr>
        <w:t>EXECUTED on ____________ , but effective as of the date set forth on the first page hereof.</w:t>
      </w:r>
    </w:p>
    <w:p>
      <w:pPr>
        <w:pStyle w:val="Normal"/>
        <w:rPr>
          <w:sz w:val="22"/>
          <w:lang w:val="en-US"/>
        </w:rPr>
      </w:pPr>
      <w:r>
        <w:rPr>
          <w:sz w:val="22"/>
          <w:lang w:val="en-US"/>
        </w:rPr>
      </w:r>
    </w:p>
    <w:p>
      <w:pPr>
        <w:pStyle w:val="Normal"/>
        <w:rPr>
          <w:sz w:val="22"/>
          <w:lang w:val="en-US"/>
        </w:rPr>
      </w:pPr>
      <w:r>
        <w:rPr>
          <w:sz w:val="22"/>
          <w:lang w:val="en-US"/>
        </w:rPr>
      </w:r>
    </w:p>
    <w:p>
      <w:pPr>
        <w:pStyle w:val="Normal"/>
        <w:rPr>
          <w:sz w:val="22"/>
          <w:lang w:val="en-US"/>
        </w:rPr>
      </w:pPr>
      <w:r>
        <w:rPr>
          <w:sz w:val="22"/>
          <w:lang w:val="en-US"/>
        </w:rPr>
      </w:r>
    </w:p>
    <w:p>
      <w:pPr>
        <w:pStyle w:val="Normal"/>
        <w:rPr/>
      </w:pPr>
      <w:r>
        <w:rPr>
          <w:sz w:val="22"/>
          <w:lang w:val="en-US"/>
        </w:rPr>
        <w:t>____________________________</w:t>
        <w:tab/>
        <w:tab/>
        <w:tab/>
        <w:tab/>
      </w:r>
      <w:r>
        <w:rPr>
          <w:b/>
          <w:sz w:val="22"/>
          <w:lang w:val="en-US"/>
        </w:rPr>
        <w:t xml:space="preserve">PEREZ COMPANC S.A. </w:t>
      </w:r>
    </w:p>
    <w:p>
      <w:pPr>
        <w:pStyle w:val="Normal"/>
        <w:rPr>
          <w:b/>
          <w:sz w:val="22"/>
          <w:lang w:val="en-US"/>
        </w:rPr>
      </w:pPr>
      <w:r>
        <w:rPr>
          <w:b/>
          <w:sz w:val="22"/>
          <w:lang w:val="en-US"/>
        </w:rPr>
      </w:r>
    </w:p>
    <w:p>
      <w:pPr>
        <w:pStyle w:val="Normal"/>
        <w:rPr>
          <w:sz w:val="22"/>
          <w:lang w:val="en-US"/>
        </w:rPr>
      </w:pPr>
      <w:r>
        <w:rPr>
          <w:sz w:val="22"/>
          <w:lang w:val="en-US"/>
        </w:rPr>
        <w:t>By: ________________________</w:t>
        <w:tab/>
        <w:tab/>
        <w:tab/>
        <w:tab/>
        <w:t>By: ___________________</w:t>
      </w:r>
    </w:p>
    <w:p>
      <w:pPr>
        <w:pStyle w:val="Normal"/>
        <w:rPr>
          <w:sz w:val="22"/>
          <w:lang w:val="en-US"/>
        </w:rPr>
      </w:pPr>
      <w:r>
        <w:rPr>
          <w:sz w:val="22"/>
          <w:lang w:val="en-US"/>
        </w:rPr>
        <w:t>Name:______________________</w:t>
        <w:tab/>
        <w:tab/>
        <w:tab/>
        <w:tab/>
        <w:t>Name: _________________</w:t>
      </w:r>
    </w:p>
    <w:p>
      <w:pPr>
        <w:pStyle w:val="Normal"/>
        <w:rPr>
          <w:sz w:val="22"/>
          <w:lang w:val="en-US"/>
        </w:rPr>
      </w:pPr>
      <w:r>
        <w:rPr>
          <w:sz w:val="22"/>
          <w:lang w:val="en-US"/>
        </w:rPr>
        <w:t>Title: _______________________</w:t>
        <w:tab/>
        <w:tab/>
        <w:tab/>
        <w:tab/>
        <w:t>Title: __________________</w:t>
      </w:r>
    </w:p>
    <w:p>
      <w:pPr>
        <w:pStyle w:val="Normal"/>
        <w:rPr>
          <w:sz w:val="22"/>
          <w:lang w:val="en-US"/>
        </w:rPr>
      </w:pPr>
      <w:r>
        <w:rPr>
          <w:sz w:val="22"/>
          <w:lang w:val="en-US"/>
        </w:rPr>
      </w:r>
    </w:p>
    <w:p>
      <w:pPr>
        <w:pStyle w:val="Normal"/>
        <w:rPr>
          <w:sz w:val="22"/>
          <w:lang w:val="en-US"/>
        </w:rPr>
      </w:pPr>
      <w:r>
        <w:rPr>
          <w:sz w:val="22"/>
          <w:lang w:val="en-US"/>
        </w:rPr>
      </w:r>
    </w:p>
    <w:p>
      <w:pPr>
        <w:pStyle w:val="Normal"/>
        <w:rPr>
          <w:sz w:val="10"/>
          <w:lang w:val="en-US"/>
        </w:rPr>
      </w:pPr>
      <w:r>
        <w:rPr>
          <w:sz w:val="10"/>
          <w:lang w:val="en-US"/>
        </w:rPr>
      </w:r>
    </w:p>
    <w:p>
      <w:pPr>
        <w:pStyle w:val="Normal"/>
        <w:rPr>
          <w:sz w:val="10"/>
          <w:lang w:val="en-US"/>
        </w:rPr>
      </w:pPr>
      <w:r>
        <w:rPr>
          <w:sz w:val="10"/>
          <w:lang w:val="en-US"/>
        </w:rPr>
      </w:r>
    </w:p>
    <w:sectPr>
      <w:headerReference w:type="default" r:id="rId2"/>
      <w:headerReference w:type="first" r:id="rId3"/>
      <w:footerReference w:type="default" r:id="rId4"/>
      <w:footerReference w:type="first" r:id="rId5"/>
      <w:type w:val="nextPage"/>
      <w:pgSz w:w="11906" w:h="16838"/>
      <w:pgMar w:left="1701" w:right="1701" w:gutter="0" w:header="720" w:top="1417" w:footer="720"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0.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/mnt/main-storage/datasets/enron-docs/doc/SCHEDULEPC.DOC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6"/>
      </w:rPr>
      <w:t>BFM&amp;L - Draft –11-11-99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lowerLetter"/>
      <w:lvlText w:val="(%1)"/>
      <w:lvlJc w:val="start"/>
      <w:pPr>
        <w:tabs>
          <w:tab w:val="num" w:pos="705"/>
        </w:tabs>
        <w:ind w:start="705" w:hanging="705"/>
      </w:pPr>
      <w:rPr>
        <w:b w:val="false"/>
      </w:rPr>
    </w:lvl>
  </w:abstractNum>
  <w:abstractNum w:abstractNumId="3">
    <w:lvl w:ilvl="0">
      <w:start w:val="2"/>
      <w:numFmt w:val="lowerLetter"/>
      <w:lvlText w:val="(%1) "/>
      <w:lvlJc w:val="start"/>
      <w:pPr>
        <w:tabs>
          <w:tab w:val="num" w:pos="360"/>
        </w:tabs>
        <w:ind w:start="1069"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s-ES_tradnl"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u w:val="single"/>
    </w:rPr>
  </w:style>
  <w:style w:type="character" w:styleId="WW8Num1z0">
    <w:name w:val="WW8Num1z0"/>
    <w:qFormat/>
    <w:rPr>
      <w:b w:val="false"/>
    </w:rPr>
  </w:style>
  <w:style w:type="character" w:styleId="WW8Num2z0">
    <w:name w:val="WW8Num2z0"/>
    <w:qFormat/>
    <w:rPr>
      <w:rFonts w:ascii="Times New Roman" w:hAnsi="Times New Roman" w:cs="Times New Roman"/>
      <w:b w:val="false"/>
      <w:i w:val="false"/>
      <w:sz w:val="22"/>
      <w:u w:val="none"/>
    </w:rPr>
  </w:style>
  <w:style w:type="character" w:styleId="Fuentedeprrafopredeter">
    <w:name w:val="Fuente de párrafo predeter."/>
    <w:qFormat/>
    <w:rPr/>
  </w:style>
  <w:style w:type="character" w:styleId="PageNumber">
    <w:name w:val="page number"/>
    <w:basedOn w:val="Fuentedeprrafopredeter"/>
    <w:rPr/>
  </w:style>
  <w:style w:type="character" w:styleId="FootnoteCharacters">
    <w:name w:val="Footnote Characters"/>
    <w:basedOn w:val="Fuentedeprrafopredete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252" w:leader="none"/>
        <w:tab w:val="right" w:pos="8504" w:leader="none"/>
      </w:tabs>
    </w:pPr>
    <w:rPr/>
  </w:style>
  <w:style w:type="paragraph" w:styleId="Footer">
    <w:name w:val="footer"/>
    <w:basedOn w:val="Normal"/>
    <w:pPr>
      <w:tabs>
        <w:tab w:val="clear" w:pos="709"/>
        <w:tab w:val="center" w:pos="4252" w:leader="none"/>
        <w:tab w:val="right" w:pos="8504" w:leader="none"/>
      </w:tabs>
      <w:jc w:val="start"/>
    </w:pPr>
    <w:rPr>
      <w:sz w:val="20"/>
      <w:lang w:val="en-US"/>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1999-05-10T15:00:00Z</dcterms:created>
  <dc:creator>FM</dc:creator>
  <dc:description/>
  <dc:language>en-CA</dc:language>
  <cp:lastModifiedBy>EKB</cp:lastModifiedBy>
  <cp:lastPrinted>1999-12-22T17:06:00Z</cp:lastPrinted>
  <dcterms:modified xsi:type="dcterms:W3CDTF">1999-12-22T21:23:00Z</dcterms:modified>
  <cp:revision>22</cp:revision>
  <dc:subject/>
  <dc:title>ISDA ®</dc:title>
</cp:coreProperties>
</file>