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b/>
          <w:sz w:val="24"/>
        </w:rPr>
      </w:pPr>
      <w:r>
        <w:rPr>
          <w:b/>
          <w:sz w:val="24"/>
        </w:rPr>
      </w:r>
    </w:p>
    <w:p>
      <w:pPr>
        <w:pStyle w:val="Normal"/>
        <w:jc w:val="center"/>
        <w:rPr>
          <w:b/>
          <w:sz w:val="24"/>
        </w:rPr>
      </w:pPr>
      <w:r>
        <w:rPr>
          <w:b/>
          <w:sz w:val="24"/>
        </w:rPr>
        <w:t>IEP Blueprint for Non Gas-Fired QF SRAC Energy Pricing</w:t>
      </w:r>
    </w:p>
    <w:p>
      <w:pPr>
        <w:pStyle w:val="Normal"/>
        <w:jc w:val="center"/>
        <w:rPr>
          <w:b/>
          <w:sz w:val="24"/>
        </w:rPr>
      </w:pPr>
      <w:r>
        <w:rPr>
          <w:b/>
          <w:sz w:val="24"/>
        </w:rPr>
        <w:t>(January 25, 2001 at 12:30 p.m.)</w:t>
      </w:r>
    </w:p>
    <w:p>
      <w:pPr>
        <w:pStyle w:val="Normal"/>
        <w:jc w:val="center"/>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4"/>
        </w:rPr>
      </w:pPr>
      <w:r>
        <w:rPr>
          <w:b/>
          <w:sz w:val="24"/>
        </w:rPr>
        <w:t>1.</w:t>
        <w:tab/>
        <w:t>Objective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4"/>
        </w:rPr>
      </w:pPr>
      <w:r>
        <w:rPr>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t>The objective of this Blueprint is to modify Pub. Util. Code Section 390 to accomplish the following as part of, and contingent upon, a comprehensive program involving all sectors of the electric industry: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numPr>
          <w:ilvl w:val="0"/>
          <w:numId w:val="3"/>
        </w:numPr>
        <w:tabs>
          <w:tab w:val="clear" w:pos="720"/>
          <w:tab w:val="left" w:pos="72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To secure the stability of California rates at reasonable levels;</w:t>
      </w:r>
    </w:p>
    <w:p>
      <w:pPr>
        <w:pStyle w:val="Normal"/>
        <w:tabs>
          <w:tab w:val="clear" w:pos="720"/>
          <w:tab w:val="left" w:pos="729" w:leader="none"/>
          <w:tab w:val="left" w:pos="144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32" w:end="0"/>
        <w:jc w:val="both"/>
        <w:rPr>
          <w:sz w:val="24"/>
        </w:rPr>
      </w:pPr>
      <w:r>
        <w:rPr>
          <w:sz w:val="24"/>
        </w:rPr>
      </w:r>
    </w:p>
    <w:p>
      <w:pPr>
        <w:pStyle w:val="BodyTextIndent"/>
        <w:widowControl/>
        <w:numPr>
          <w:ilvl w:val="0"/>
          <w:numId w:val="3"/>
        </w:numPr>
        <w:tabs>
          <w:tab w:val="clear" w:pos="720"/>
          <w:tab w:val="left" w:pos="-144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To assure the commercial and operational viability of California’s existing QF generating resources in order to sustain delivery of generation form existing generation facilities;</w:t>
      </w:r>
    </w:p>
    <w:p>
      <w:pPr>
        <w:pStyle w:val="BodyTextIndent"/>
        <w:widowControl/>
        <w:tabs>
          <w:tab w:val="clear" w:pos="720"/>
          <w:tab w:val="clear" w:pos="1440"/>
          <w:tab w:val="left" w:pos="-1440" w:leader="none"/>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end="0"/>
        <w:rPr/>
      </w:pPr>
      <w:r>
        <w:rPr/>
      </w:r>
    </w:p>
    <w:p>
      <w:pPr>
        <w:pStyle w:val="Normal"/>
        <w:numPr>
          <w:ilvl w:val="0"/>
          <w:numId w:val="3"/>
        </w:numPr>
        <w:tabs>
          <w:tab w:val="clear" w:pos="720"/>
          <w:tab w:val="left" w:pos="0" w:leader="none"/>
          <w:tab w:val="left" w:pos="72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To facilitate the restoration of the financial health of SCE; and</w:t>
      </w:r>
    </w:p>
    <w:p>
      <w:pPr>
        <w:pStyle w:val="Normal"/>
        <w:tabs>
          <w:tab w:val="clear" w:pos="720"/>
          <w:tab w:val="left" w:pos="0" w:leader="none"/>
          <w:tab w:val="left" w:pos="729"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BodyTextIndent2"/>
        <w:rPr/>
      </w:pPr>
      <w:r>
        <w:rPr/>
        <w:tab/>
        <w:t>D.</w:t>
        <w:tab/>
        <w:t>To ensure that credit support is in place sufficient to achieve the objectives of the Blueprint.</w:t>
      </w:r>
    </w:p>
    <w:p>
      <w:pPr>
        <w:pStyle w:val="Level1"/>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jc w:val="both"/>
        <w:rPr>
          <w:sz w:val="24"/>
        </w:rPr>
      </w:pPr>
      <w:r>
        <w:rPr>
          <w:sz w:val="24"/>
        </w:rPr>
      </w:r>
    </w:p>
    <w:p>
      <w:pPr>
        <w:pStyle w:val="Heading1"/>
        <w:ind w:hanging="0" w:start="0"/>
        <w:rPr/>
      </w:pPr>
      <w:r>
        <w:rPr/>
        <w:t>2.</w:t>
        <w:tab/>
        <w:t>SRAC Pricing Principles Applicable to All QFs</w:t>
      </w:r>
    </w:p>
    <w:p>
      <w:pPr>
        <w:pStyle w:val="Normal"/>
        <w:rPr>
          <w:sz w:val="24"/>
        </w:rPr>
      </w:pPr>
      <w:r>
        <w:rPr>
          <w:sz w:val="24"/>
        </w:rPr>
      </w:r>
    </w:p>
    <w:p>
      <w:pPr>
        <w:pStyle w:val="Normal"/>
        <w:numPr>
          <w:ilvl w:val="0"/>
          <w:numId w:val="4"/>
        </w:numPr>
        <w:rPr>
          <w:sz w:val="24"/>
        </w:rPr>
      </w:pPr>
      <w:r>
        <w:rPr>
          <w:sz w:val="24"/>
        </w:rPr>
        <w:t>“</w:t>
      </w:r>
      <w:r>
        <w:rPr>
          <w:sz w:val="24"/>
        </w:rPr>
        <w:t>SRAC” means short run avoided energy costs as determined by the CPUC, as currently described in CPUC Decision 96-12-028.</w:t>
      </w:r>
    </w:p>
    <w:p>
      <w:pPr>
        <w:pStyle w:val="Normal"/>
        <w:rPr>
          <w:sz w:val="24"/>
        </w:rPr>
      </w:pPr>
      <w:r>
        <w:rPr>
          <w:sz w:val="24"/>
        </w:rPr>
      </w:r>
    </w:p>
    <w:p>
      <w:pPr>
        <w:pStyle w:val="Normal"/>
        <w:numPr>
          <w:ilvl w:val="0"/>
          <w:numId w:val="4"/>
        </w:numPr>
        <w:tabs>
          <w:tab w:val="clear" w:pos="720"/>
          <w:tab w:val="left" w:pos="0" w:leader="none"/>
          <w:tab w:val="left" w:pos="73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Contract capacity and non-SRAC energy pricing provisions in existing power purchase contracts (“contracts”) shall remain unchanged.</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BodyText"/>
        <w:numPr>
          <w:ilvl w:val="0"/>
          <w:numId w:val="4"/>
        </w:numPr>
        <w:rPr/>
      </w:pPr>
      <w:r>
        <w:rPr/>
        <w:t>The following pricing principles in this Section 3 and the pricing methodologies set forth in Section 4 shall be in force for a period of five years commencing on the Effective Date and are in lieu of CPUC determinations on the issues addressed herein.</w:t>
      </w:r>
    </w:p>
    <w:p>
      <w:pPr>
        <w:pStyle w:val="BodyText"/>
        <w:tabs>
          <w:tab w:val="clear" w:pos="1440"/>
          <w:tab w:val="left" w:pos="0" w:leader="none"/>
          <w:tab w:val="left" w:pos="711"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
    </w:p>
    <w:p>
      <w:pPr>
        <w:pStyle w:val="BodyText"/>
        <w:ind w:hanging="1440" w:start="2160" w:end="0"/>
        <w:rPr/>
      </w:pPr>
      <w:r>
        <w:rPr/>
        <w:tab/>
        <w:t>1)</w:t>
        <w:tab/>
        <w:t>Time of delivery and seasonal capacity payment allocation factors in effect on January 1, 2001 shall remain unchanged.</w:t>
      </w:r>
    </w:p>
    <w:p>
      <w:pPr>
        <w:pStyle w:val="Normal"/>
        <w:tabs>
          <w:tab w:val="clear" w:pos="720"/>
          <w:tab w:val="left" w:pos="729"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clear" w:pos="720"/>
          <w:tab w:val="left" w:pos="729"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sz w:val="24"/>
        </w:rPr>
      </w:pPr>
      <w:r>
        <w:rPr>
          <w:sz w:val="24"/>
        </w:rPr>
        <w:tab/>
        <w:tab/>
        <w:t>2)</w:t>
        <w:tab/>
        <w:t>Energy line loss factors (at both the transmission and distribution level) shall be set at 1.0 unless different numbers are otherwise specifically set forth in a contract.</w:t>
      </w:r>
    </w:p>
    <w:p>
      <w:pPr>
        <w:pStyle w:val="Normal"/>
        <w:tabs>
          <w:tab w:val="clear" w:pos="720"/>
          <w:tab w:val="left" w:pos="729"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sz w:val="24"/>
        </w:rPr>
      </w:pPr>
      <w:r>
        <w:rPr>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sz w:val="24"/>
        </w:rPr>
      </w:pPr>
      <w:r>
        <w:rPr>
          <w:sz w:val="24"/>
        </w:rPr>
        <w:tab/>
        <w:t>3)</w:t>
        <w:tab/>
        <w:t>The opportunity for QFs to exercise the one-time, irrevocable option to elect Power Exchange-based short-run avoided energy cost (SRAC) pricing pursuant to Pub. Util. Code Section 390(c) is suspended.</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sz w:val="24"/>
        </w:rPr>
      </w:pPr>
      <w:r>
        <w:rPr>
          <w:sz w:val="24"/>
        </w:rPr>
        <w:tab/>
        <w:t>4)</w:t>
        <w:tab/>
        <w:t>Five years from the Effective Date, the SRAC pricing methodology shall revert to the SRAC methodology as provided in the existing contracts.</w:t>
        <w:tab/>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sz w:val="24"/>
        </w:rPr>
      </w:pPr>
      <w:r>
        <w:rPr>
          <w:sz w:val="24"/>
        </w:rPr>
      </w:r>
    </w:p>
    <w:p>
      <w:pPr>
        <w:pStyle w:val="BodyText"/>
        <w:tabs>
          <w:tab w:val="clear" w:pos="0"/>
          <w:tab w:val="clear" w:pos="2160"/>
          <w:tab w:val="left" w:pos="711"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rPr/>
      </w:pPr>
      <w:r>
        <w:rPr/>
        <w:tab/>
        <w:tab/>
        <w:t>5)</w:t>
        <w:tab/>
        <w:t>The parties hereto agree that (i) the pricing methodologies set forth herein yield rates of payment to the QFs which are just and reasonable, (ii) that effectuation of such methodologies will, in certain instances that have been discussed among the affected parties and which are identified herein or in concurrently agreed-to principles, entail the termination or resolution of certain pending disputes and regulatory proceedings, and (iii) that any and all of the costs to SCE associated with the implementation of such pricing methodologies and the termination or resolution of such disputes and proceedings are and should be deemed reasonable for all purposes, including by the CPUC for cost recovery purposes.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BodyText"/>
        <w:tabs>
          <w:tab w:val="clear" w:pos="0"/>
          <w:tab w:val="clear" w:pos="711"/>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rPr/>
      </w:pPr>
      <w:r>
        <w:rPr/>
        <w:tab/>
        <w:t>6)</w:t>
        <w:tab/>
        <w:t xml:space="preserve">At the election of any QF, the pricing principles in this Section 3 and the pricing methodologies in Section 4, will be reduced to a written amendment to the QF’s contract; and payments made by SCE pursuant to any such amendment are and should be deemed reasonable for all purposes, including by the CPUC for cost recovery purposes.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rPr>
          <w:sz w:val="24"/>
        </w:rPr>
      </w:pPr>
      <w:r>
        <w:rPr>
          <w:sz w:val="24"/>
        </w:rPr>
        <w:tab/>
        <w:tab/>
        <w:t>7)</w:t>
        <w:tab/>
        <w:t>Except as specifically provided for in this Blueprint, all other provisions of the existing contracts remain unchanged.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numPr>
          <w:ilvl w:val="0"/>
          <w:numId w:val="5"/>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24"/>
        </w:rPr>
      </w:pPr>
      <w:r>
        <w:rPr>
          <w:b/>
          <w:bCs/>
          <w:sz w:val="24"/>
        </w:rPr>
        <w:t>Payment Obligations of the Utilities to all QFs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bCs/>
          <w:sz w:val="24"/>
        </w:rPr>
      </w:pPr>
      <w:r>
        <w:rPr>
          <w:b/>
          <w:bCs/>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tab/>
        <w:t>A.</w:t>
        <w:tab/>
        <w:t xml:space="preserve">From the effective date, payments to QFs for all deliveries of energy and capacity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tab/>
        <w:t>shall be made when due under the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sz w:val="24"/>
        </w:rPr>
      </w:pPr>
      <w:r>
        <w:rPr>
          <w:sz w:val="24"/>
        </w:rPr>
        <w:tab/>
        <w:t>B.</w:t>
        <w:tab/>
        <w:t>Any contractually past due payments to QFs for energy and capacity delivered shall be made within 10 days of the Effective Date, and such energy payments shall be made at the full SRAC price as set forth in Section 2(A); 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Heading3"/>
        <w:numPr>
          <w:ilvl w:val="0"/>
          <w:numId w:val="0"/>
        </w:numPr>
        <w:ind w:hanging="720" w:start="1440" w:end="0"/>
        <w:rPr/>
      </w:pPr>
      <w:r>
        <w:rPr/>
        <w:t>C.</w:t>
        <w:tab/>
        <w:t>The utilities waive, and will cause to be withdrawn, any pending challenges to the SRAC postings to date.</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4"/>
        </w:rPr>
      </w:pPr>
      <w:r>
        <w:rPr>
          <w:b/>
          <w:sz w:val="24"/>
        </w:rPr>
        <w:t>4.</w:t>
        <w:tab/>
        <w:t xml:space="preserve">SRAC Pricing Methodology Applicable to Non Gas-Fired QFs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sz w:val="24"/>
        </w:rPr>
      </w:pPr>
      <w:r>
        <w:rPr>
          <w:sz w:val="24"/>
        </w:rPr>
        <w:tab/>
        <w:t>A.</w:t>
        <w:tab/>
        <w:t>Except as provided in Section 4(c) below, this pricing methodology is applicable to all small power production facilities and cogeneration facilities, the primary fuel of which is not natural gas (“Non Gas-Fired QFs”).</w:t>
      </w:r>
    </w:p>
    <w:p>
      <w:pPr>
        <w:pStyle w:val="BodyTextIndent2"/>
        <w:ind w:hanging="0" w:start="705" w:end="0"/>
        <w:rPr>
          <w:sz w:val="24"/>
        </w:rPr>
      </w:pPr>
      <w:r>
        <w:rPr>
          <w:sz w:val="24"/>
        </w:rPr>
      </w:r>
    </w:p>
    <w:p>
      <w:pPr>
        <w:pStyle w:val="BodyText"/>
        <w:tabs>
          <w:tab w:val="clear" w:pos="0"/>
          <w:tab w:val="left" w:pos="71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rPr/>
      </w:pPr>
      <w:r>
        <w:rPr/>
        <w:tab/>
        <w:t>B.</w:t>
        <w:tab/>
        <w:t>In lieu of the current monthly determination of SRAC, and in consideration for its applicability for a term of years, SRAC energy payments for Non Gas-Fired QF generators shall be a time-weighted period average 5.37 cents per kWh for five years from the Effective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sz w:val="24"/>
        </w:rPr>
      </w:pPr>
      <w:r>
        <w:rPr>
          <w:sz w:val="24"/>
        </w:rPr>
        <w:tab/>
        <w:t>C.</w:t>
        <w:tab/>
        <w:t>SRAC energy payments for Non Gas-Fired QFs whose primary energy source is solar energy is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sz w:val="24"/>
        </w:rPr>
      </w:pPr>
      <w:r>
        <w:rPr>
          <w:sz w:val="24"/>
        </w:rPr>
        <w:t>(i) 75% of such SRAC of energy shall be a time-weighted period average 5.37 cents per kWh; and</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sz w:val="24"/>
        </w:rPr>
      </w:pPr>
      <w:r>
        <w:rPr>
          <w:sz w:val="24"/>
        </w:rPr>
        <w:t>(ii) 25% of such short run avoided cost of energy shall be calculated using the pricing methodology described in Section 4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sz w:val="24"/>
        </w:rPr>
      </w:pPr>
      <w:r>
        <w:rPr>
          <w:sz w:val="24"/>
        </w:rPr>
        <w:t>As consideration for agreement to adopt this pricing policy for solar thermal QFs (1) as of the Effective Date, SCE shall certify that the solar thermal QFs are in full compliance with their contract obligations with regard to matters described in letters to each of the solar thermal QFs from SCE dated December 8 and 9, 2000 and SCE releases all claims, if any, regarding such compliance, and (2) SCE agrees to withdraw prior to the Effective Date its Petition for Declaratory Order and all related pleadings from the FERC with respect to the gas use by such solar thermal QFs and to give up any further rights to challenge such QFs’ certifications at FERC or in any other regulatory or judicial body in any way related to the manner of such QFs’ gas use.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4"/>
        </w:rPr>
      </w:pPr>
      <w:r>
        <w:rPr>
          <w:b/>
          <w:sz w:val="24"/>
        </w:rPr>
        <w:t>5.</w:t>
        <w:tab/>
        <w:t>Best Efforts and Mutual Cooperation.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b/>
          <w:sz w:val="24"/>
        </w:rPr>
      </w:pPr>
      <w:r>
        <w:rPr>
          <w:b/>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sz w:val="24"/>
        </w:rPr>
      </w:pPr>
      <w:r>
        <w:rPr>
          <w:sz w:val="24"/>
        </w:rPr>
        <w:t>The utilities and IEP QFs parties shall take all good faith actions to assure that these principles are fully adopted and supported by all required state and federal regulatory, legislative and executive entities.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sz w:val="24"/>
        </w:rPr>
      </w:pPr>
      <w:r>
        <w:rPr>
          <w:b/>
          <w:sz w:val="24"/>
        </w:rPr>
        <w:t>6.</w:t>
        <w:tab/>
        <w:t>Effective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b/>
          <w:sz w:val="24"/>
        </w:rPr>
      </w:pPr>
      <w:r>
        <w:rPr>
          <w:b/>
          <w:sz w:val="24"/>
        </w:rPr>
      </w:r>
    </w:p>
    <w:p>
      <w:pPr>
        <w:pStyle w:val="BodyText"/>
        <w:tabs>
          <w:tab w:val="clear" w:pos="0"/>
          <w:tab w:val="left" w:pos="71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tab/>
        <w:t>February 1, 2001 is the Effective Date.</w:t>
      </w:r>
    </w:p>
    <w:p>
      <w:pPr>
        <w:pStyle w:val="Normal"/>
        <w:tabs>
          <w:tab w:val="left" w:pos="720" w:leader="none"/>
        </w:tabs>
        <w:rPr/>
      </w:pPr>
      <w:r>
        <w:rPr/>
      </w:r>
    </w:p>
    <w:sect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upperLetter"/>
      <w:lvlText w:val="%1."/>
      <w:lvlJc w:val="start"/>
      <w:pPr>
        <w:tabs>
          <w:tab w:val="num" w:pos="1452"/>
        </w:tabs>
        <w:ind w:start="1452" w:hanging="72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3"/>
      <w:numFmt w:val="decimal"/>
      <w:lvlText w:val="%1."/>
      <w:lvlJc w:val="start"/>
      <w:pPr>
        <w:tabs>
          <w:tab w:val="num" w:pos="1080"/>
        </w:tabs>
        <w:ind w:start="1080" w:hanging="720"/>
      </w:pPr>
      <w:rPr/>
    </w:lvl>
  </w:abstractNum>
  <w:abstractNum w:abstractNumId="6">
    <w:lvl w:ilvl="0">
      <w:start w:val="7"/>
      <w:numFmt w:val="decimal"/>
      <w:lvlText w:val="%1)"/>
      <w:lvlJc w:val="start"/>
      <w:pPr>
        <w:tabs>
          <w:tab w:val="num" w:pos="1800"/>
        </w:tabs>
        <w:ind w:start="1800" w:hanging="360"/>
      </w:pPr>
      <w:rPr/>
    </w:lvl>
    <w:lvl w:ilvl="1">
      <w:start w:val="1"/>
      <w:numFmt w:val="upperLetter"/>
      <w:lvlText w:val="%2."/>
      <w:lvlJc w:val="start"/>
      <w:pPr>
        <w:tabs>
          <w:tab w:val="num" w:pos="2880"/>
        </w:tabs>
        <w:ind w:start="2880" w:hanging="72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7">
    <w:lvl w:ilvl="0">
      <w:start w:val="4"/>
      <w:numFmt w:val="decimal"/>
      <w:lvlText w:val="%1."/>
      <w:lvlJc w:val="start"/>
      <w:pPr>
        <w:tabs>
          <w:tab w:val="num" w:pos="0"/>
        </w:tabs>
        <w:ind w:start="0" w:hanging="0"/>
      </w:pPr>
      <w:rPr>
        <w:sz w:val="24"/>
        <w:b/>
        <w:szCs w:val="24"/>
        <w:rFonts w:ascii="CG Times;Times New Roman" w:hAnsi="CG Times;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0" w:leader="none"/>
        <w:tab w:val="left" w:pos="729"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pPr>
    <w:rPr>
      <w:b/>
      <w:sz w:val="24"/>
    </w:rPr>
  </w:style>
  <w:style w:type="paragraph" w:styleId="Heading2">
    <w:name w:val="heading 2"/>
    <w:basedOn w:val="Normal"/>
    <w:next w:val="Normal"/>
    <w:qFormat/>
    <w:pPr>
      <w:keepNext w:val="true"/>
      <w:numPr>
        <w:ilvl w:val="0"/>
        <w:numId w:val="2"/>
      </w:numPr>
      <w:tabs>
        <w:tab w:val="left" w:pos="720" w:leader="none"/>
      </w:tabs>
      <w:outlineLvl w:val="1"/>
    </w:pPr>
    <w:rPr>
      <w:sz w:val="24"/>
    </w:rPr>
  </w:style>
  <w:style w:type="paragraph" w:styleId="Heading3">
    <w:name w:val="heading 3"/>
    <w:basedOn w:val="Normal"/>
    <w:next w:val="Normal"/>
    <w:qFormat/>
    <w:pPr>
      <w:keepNext w:val="true"/>
      <w:numPr>
        <w:ilvl w:val="0"/>
        <w:numId w:val="6"/>
      </w:numPr>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end="0"/>
      <w:jc w:val="both"/>
      <w:outlineLvl w:val="2"/>
    </w:pPr>
    <w:rPr>
      <w:sz w:val="24"/>
    </w:rPr>
  </w:style>
  <w:style w:type="character" w:styleId="WW8Num1z0">
    <w:name w:val="WW8Num1z0"/>
    <w:qFormat/>
    <w:rPr>
      <w:rFonts w:ascii="CG Times;Times New Roman" w:hAnsi="CG Times;Times New Roman" w:cs="Times New Roman"/>
      <w:b/>
      <w:sz w:val="24"/>
      <w:szCs w:val="24"/>
    </w:rPr>
  </w:style>
  <w:style w:type="character" w:styleId="WW8Num2z0">
    <w:name w:val="WW8Num2z0"/>
    <w:qFormat/>
    <w:rPr>
      <w:rFonts w:ascii="CG Times;Times New Roman" w:hAnsi="CG Times;Times New Roman" w:cs="Times New Roman"/>
      <w:b/>
      <w:sz w:val="24"/>
      <w:szCs w:val="24"/>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3z2">
    <w:name w:val="WW8Num13z2"/>
    <w:qFormat/>
    <w:rPr>
      <w:b/>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71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numPr>
        <w:ilvl w:val="0"/>
        <w:numId w:val="7"/>
      </w:numPr>
      <w:autoSpaceDE w:val="false"/>
      <w:ind w:hanging="720" w:start="1440" w:end="0"/>
      <w:outlineLvl w:val="0"/>
    </w:pPr>
    <w:rPr/>
  </w:style>
  <w:style w:type="paragraph" w:styleId="BodyTextIndent">
    <w:name w:val="Body Text Indent"/>
    <w:basedOn w:val="Normal"/>
    <w:pPr>
      <w:widowControl w:val="false"/>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autoSpaceDE w:val="false"/>
      <w:ind w:hanging="720" w:start="1440" w:end="0"/>
      <w:jc w:val="both"/>
    </w:pPr>
    <w:rPr>
      <w:sz w:val="24"/>
    </w:rPr>
  </w:style>
  <w:style w:type="paragraph" w:styleId="BodyTextIndent2">
    <w:name w:val="Body Text Indent 2"/>
    <w:basedOn w:val="Normal"/>
    <w:qFormat/>
    <w:pPr>
      <w:tabs>
        <w:tab w:val="clear" w:pos="720"/>
        <w:tab w:val="left" w:pos="0" w:leader="none"/>
        <w:tab w:val="left" w:pos="71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pPr>
    <w:rPr>
      <w:sz w:val="24"/>
    </w:rPr>
  </w:style>
  <w:style w:type="paragraph" w:styleId="BodyTextIndent3">
    <w:name w:val="Body Text Indent 3"/>
    <w:basedOn w:val="Normal"/>
    <w:qFormat/>
    <w:pPr>
      <w:tabs>
        <w:tab w:val="clear" w:pos="720"/>
        <w:tab w:val="left" w:pos="729"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30" w:start="2157" w:end="0"/>
      <w:jc w:val="both"/>
    </w:pPr>
    <w:rPr>
      <w:sz w:val="24"/>
    </w:rPr>
  </w:style>
  <w:style w:type="paragraph" w:styleId="BodyText2">
    <w:name w:val="Body Text 2"/>
    <w:basedOn w:val="Normal"/>
    <w:qFormat/>
    <w:pPr>
      <w:tabs>
        <w:tab w:val="left" w:pos="720" w:leader="none"/>
      </w:tabs>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2001-01-25T18:44:00Z</dcterms:created>
  <dc:creator>Melissa Whatley</dc:creator>
  <dc:description/>
  <dc:language>en-CA</dc:language>
  <cp:lastModifiedBy>Carol Hudson</cp:lastModifiedBy>
  <cp:lastPrinted>2001-01-25T13:19:00Z</cp:lastPrinted>
  <dcterms:modified xsi:type="dcterms:W3CDTF">2001-01-25T18:49:00Z</dcterms:modified>
  <cp:revision>3</cp:revision>
  <dc:subject/>
  <dc:title>SCE and QF Parties Blueprint for Reforming QF Energy Pricing</dc:title>
</cp:coreProperties>
</file>