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PROPOSAL TO SETTLE SCE NEGATIVE CTC CLAIM</w:t>
      </w:r>
    </w:p>
    <w:p>
      <w:pPr>
        <w:pStyle w:val="Normal"/>
        <w:ind w:start="-900" w:end="0"/>
        <w:rPr/>
      </w:pPr>
      <w:r>
        <w:rPr/>
      </w:r>
    </w:p>
    <w:p>
      <w:pPr>
        <w:pStyle w:val="Heading2"/>
        <w:ind w:firstLine="900" w:end="0"/>
        <w:rPr/>
      </w:pPr>
      <w:r>
        <w:rPr/>
        <w:t>Background</w:t>
      </w:r>
    </w:p>
    <w:p>
      <w:pPr>
        <w:pStyle w:val="Normal"/>
        <w:rPr/>
      </w:pPr>
      <w:r>
        <w:rPr/>
      </w:r>
    </w:p>
    <w:p>
      <w:pPr>
        <w:pStyle w:val="BodyTextIndent"/>
        <w:numPr>
          <w:ilvl w:val="0"/>
          <w:numId w:val="3"/>
        </w:numPr>
        <w:rPr/>
      </w:pPr>
      <w:r>
        <w:rPr/>
        <w:t>EES has two proceedings pending at the CPUC to collect the negative CTC amounts owed by SCE:  a January Complaint filed with other ESPs for an order of payment and a September Complaint filed alone for an order allowing offset of the negative CTC against current T&amp;D charges.</w:t>
      </w:r>
    </w:p>
    <w:p>
      <w:pPr>
        <w:pStyle w:val="BodyTextIndent"/>
        <w:numPr>
          <w:ilvl w:val="0"/>
          <w:numId w:val="3"/>
        </w:numPr>
        <w:rPr/>
      </w:pPr>
      <w:r>
        <w:rPr/>
        <w:t>SCE has filed a counterclaim in the January proceeding alleging market manipulation by EES’s affiliate.</w:t>
      </w:r>
    </w:p>
    <w:p>
      <w:pPr>
        <w:pStyle w:val="BodyTextIndent"/>
        <w:numPr>
          <w:ilvl w:val="0"/>
          <w:numId w:val="3"/>
        </w:numPr>
        <w:rPr/>
      </w:pPr>
      <w:r>
        <w:rPr/>
        <w:t>The amount of the negative CTC owed, as of January 1, 2001, was $93 million.</w:t>
      </w:r>
    </w:p>
    <w:p>
      <w:pPr>
        <w:pStyle w:val="BodyTextIndent"/>
        <w:numPr>
          <w:ilvl w:val="0"/>
          <w:numId w:val="3"/>
        </w:numPr>
        <w:rPr/>
      </w:pPr>
      <w:r>
        <w:rPr/>
        <w:t xml:space="preserve">EES is depositing current T&amp;D billed by SCE into escrow at the CPUC pending a ruling on EES’s right to offset the negative CTC owed by SCE against current T&amp;D charges.  </w:t>
      </w:r>
    </w:p>
    <w:p>
      <w:pPr>
        <w:pStyle w:val="BodyTextIndent"/>
        <w:numPr>
          <w:ilvl w:val="0"/>
          <w:numId w:val="3"/>
        </w:numPr>
        <w:rPr/>
      </w:pPr>
      <w:r>
        <w:rPr/>
        <w:t>In April, the parties to the January proceeding agreed to stay that proceeding.  The Stipulation between the parties agreeing to the stay provided that, if SCE’s MOU and Advice Letter were approved, SCE would pay the negative CTC claim up to January 17, 2001 based on the parties’ traditional methodology, and for the period after January 17 under the PE credit methodology set forth in its Advice Letter.</w:t>
      </w:r>
    </w:p>
    <w:p>
      <w:pPr>
        <w:pStyle w:val="BodyTextIndent"/>
        <w:numPr>
          <w:ilvl w:val="0"/>
          <w:numId w:val="3"/>
        </w:numPr>
        <w:rPr/>
      </w:pPr>
      <w:r>
        <w:rPr/>
        <w:t>Last week SCE announced that it had reached a settlement with the State of California.  The terms of this settlement, although not identical to the terms of the MOU, has the same affect as implementation of the MOU (SCE’s continued viability), and under the spirit of the Stipulation should be treated as triggering SCE’s commitment to pay EES’s and the other ESP’s negative CTC claims.</w:t>
      </w:r>
    </w:p>
    <w:p>
      <w:pPr>
        <w:pStyle w:val="BodyTextIndent"/>
        <w:ind w:hanging="0" w:start="-120" w:end="0"/>
        <w:rPr/>
      </w:pPr>
      <w:r>
        <w:rPr/>
      </w:r>
    </w:p>
    <w:p>
      <w:pPr>
        <w:pStyle w:val="BodyTextIndent"/>
        <w:ind w:firstLine="780" w:start="-900" w:end="0"/>
        <w:rPr>
          <w:u w:val="single"/>
        </w:rPr>
      </w:pPr>
      <w:r>
        <w:rPr>
          <w:u w:val="single"/>
        </w:rPr>
        <w:t>Proposal</w:t>
      </w:r>
    </w:p>
    <w:p>
      <w:pPr>
        <w:pStyle w:val="BodyTextIndent"/>
        <w:ind w:hanging="0" w:start="0" w:end="0"/>
        <w:rPr>
          <w:u w:val="single"/>
        </w:rPr>
      </w:pPr>
      <w:r>
        <w:rPr>
          <w:u w:val="single"/>
        </w:rPr>
      </w:r>
    </w:p>
    <w:p>
      <w:pPr>
        <w:pStyle w:val="BodyTextIndent"/>
        <w:numPr>
          <w:ilvl w:val="0"/>
          <w:numId w:val="2"/>
        </w:numPr>
        <w:tabs>
          <w:tab w:val="clear" w:pos="720"/>
          <w:tab w:val="left" w:pos="-720" w:leader="none"/>
        </w:tabs>
        <w:rPr>
          <w:u w:val="single"/>
        </w:rPr>
      </w:pPr>
      <w:r>
        <w:rPr/>
        <w:t>It would be to EES’s advantage to reach an agreement with SCE for the payment of the negative CTCs as opposed to continuing to litigate the issue at the CPUC: the CPUC is not likely to act promptly on the claim; some members of the CPUC are hostile to the claim; and an agreement would dispose of SCE’s counterclaim.</w:t>
      </w:r>
    </w:p>
    <w:p>
      <w:pPr>
        <w:pStyle w:val="BodyTextIndent"/>
        <w:numPr>
          <w:ilvl w:val="0"/>
          <w:numId w:val="2"/>
        </w:numPr>
        <w:tabs>
          <w:tab w:val="clear" w:pos="720"/>
          <w:tab w:val="left" w:pos="-720" w:leader="none"/>
        </w:tabs>
        <w:rPr>
          <w:u w:val="single"/>
        </w:rPr>
      </w:pPr>
      <w:r>
        <w:rPr/>
        <w:t>SCE may be interested in settling because (1) arguably it committed to do so in the Stipulation and (2) settlement would eliminate Enron as a creditor who might join others in seeking to put SCE into an involuntary bankruptcy.</w:t>
      </w:r>
    </w:p>
    <w:p>
      <w:pPr>
        <w:pStyle w:val="BodyTextIndent"/>
        <w:numPr>
          <w:ilvl w:val="0"/>
          <w:numId w:val="2"/>
        </w:numPr>
        <w:tabs>
          <w:tab w:val="clear" w:pos="720"/>
          <w:tab w:val="left" w:pos="-720" w:leader="none"/>
        </w:tabs>
        <w:rPr/>
      </w:pPr>
      <w:r>
        <w:rPr/>
        <w:t>Terms of the settlement would include (1) SCE contractual commitment (perhaps a secured note) promising payment of the agreed negative CTC due as of January 17, 2001 by April 30, 2002; (2) EES’s dismissal of its January Complaint; and (3) SCE’s dismissal of its Counterclaim.  Other issues for discussion could be (1) EES’s forbearance on some or all of T&amp;D offset (could have adverse ramifications on parallel action versus PG&amp;E), and (2) agreement on post-January 17 methodology for calculation of the negative CTC.</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32"/>
      </w:rPr>
    </w:pPr>
    <w:r>
      <w:rPr>
        <w:b/>
        <w:bCs/>
        <w:sz w:val="32"/>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240"/>
        </w:tabs>
        <w:ind w:start="24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ind w:hanging="0" w:start="-900" w:end="0"/>
      <w:outlineLvl w:val="1"/>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8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2001-10-09T17:23:00Z</dcterms:created>
  <dc:creator>rwillia2</dc:creator>
  <dc:description/>
  <dc:language>en-CA</dc:language>
  <cp:lastModifiedBy>rwillia2</cp:lastModifiedBy>
  <cp:lastPrinted>2001-10-09T14:41:00Z</cp:lastPrinted>
  <dcterms:modified xsi:type="dcterms:W3CDTF">2001-10-09T17:23:00Z</dcterms:modified>
  <cp:revision>2</cp:revision>
  <dc:subject/>
  <dc:title>PROPOSAL TO SETTLE SCE NEGATIVE CTC CLAIM</dc:title>
</cp:coreProperties>
</file>