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tabs>
          <w:tab w:val="clear" w:pos="720"/>
          <w:tab w:val="left" w:pos="2430" w:leader="none"/>
        </w:tabs>
        <w:jc w:val="start"/>
        <w:rPr>
          <w:rFonts w:ascii="Times New Roman" w:hAnsi="Times New Roman" w:cs="Times New Roman"/>
          <w:b w:val="false"/>
          <w:sz w:val="24"/>
        </w:rPr>
      </w:pPr>
      <w:r>
        <w:rPr>
          <w:sz w:val="22"/>
        </w:rPr>
        <w:t>COM/HMD/max</w:t>
        <w:tab/>
      </w:r>
      <w:r>
        <w:rPr>
          <w:b w:val="false"/>
          <w:sz w:val="28"/>
        </w:rPr>
        <w:tab/>
        <w:tab/>
        <w:tab/>
        <w:tab/>
        <w:tab/>
        <w:tab/>
      </w:r>
      <w:r>
        <w:rPr>
          <w:b w:val="false"/>
          <w:sz w:val="36"/>
        </w:rPr>
        <w:t>Mailed 8/3/2000</w:t>
      </w:r>
    </w:p>
    <w:p>
      <w:pPr>
        <w:pStyle w:val="main"/>
        <w:tabs>
          <w:tab w:val="clear" w:pos="720"/>
          <w:tab w:val="left" w:pos="2430" w:leader="none"/>
        </w:tabs>
        <w:jc w:val="start"/>
        <w:rPr>
          <w:rFonts w:ascii="Times New Roman" w:hAnsi="Times New Roman" w:cs="Times New Roman"/>
          <w:b w:val="false"/>
          <w:sz w:val="24"/>
        </w:rPr>
      </w:pPr>
      <w:r>
        <w:rPr>
          <w:rFonts w:cs="Times New Roman" w:ascii="Times New Roman" w:hAnsi="Times New Roman"/>
          <w:b w:val="false"/>
          <w:sz w:val="24"/>
        </w:rPr>
      </w:r>
    </w:p>
    <w:p>
      <w:pPr>
        <w:pStyle w:val="main"/>
        <w:tabs>
          <w:tab w:val="clear" w:pos="720"/>
          <w:tab w:val="left" w:pos="2430" w:leader="none"/>
        </w:tabs>
        <w:jc w:val="start"/>
        <w:rPr>
          <w:rFonts w:ascii="Times New Roman" w:hAnsi="Times New Roman" w:cs="Times New Roman"/>
          <w:b w:val="false"/>
          <w:sz w:val="24"/>
          <w:u w:val="single"/>
        </w:rPr>
      </w:pPr>
      <w:r>
        <w:rPr>
          <w:rFonts w:cs="Times New Roman" w:ascii="Times New Roman" w:hAnsi="Times New Roman"/>
          <w:b w:val="false"/>
          <w:sz w:val="24"/>
        </w:rPr>
        <w:t>Decision 00-08-023  August 3, 2000</w:t>
      </w:r>
    </w:p>
    <w:p>
      <w:pPr>
        <w:pStyle w:val="main"/>
        <w:jc w:val="start"/>
        <w:rPr>
          <w:sz w:val="24"/>
        </w:rPr>
      </w:pPr>
      <w:r>
        <w:rPr>
          <w:rFonts w:cs="Times New Roman" w:ascii="Times New Roman" w:hAnsi="Times New Roman"/>
          <w:sz w:val="24"/>
        </w:rPr>
        <w:t xml:space="preserve"> </w:t>
      </w:r>
    </w:p>
    <w:p>
      <w:pPr>
        <w:pStyle w:val="main"/>
        <w:jc w:val="start"/>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widowControl w:val="false"/>
              <w:tabs>
                <w:tab w:val="clear" w:pos="720"/>
                <w:tab w:val="left" w:pos="-1440" w:leader="none"/>
                <w:tab w:val="left" w:pos="1440" w:leader="none"/>
                <w:tab w:val="left" w:pos="5472" w:leader="none"/>
              </w:tabs>
              <w:rPr/>
            </w:pPr>
            <w:r>
              <w:rPr/>
              <w:t>Order Instituting Rulemaking on the Commission's Proposed Policies Governing Restructuring California's Electric Services Industry and Reforming Regulation.</w:t>
            </w:r>
          </w:p>
          <w:p>
            <w:pPr>
              <w:pStyle w:val="Normal"/>
              <w:rPr/>
            </w:pPr>
            <w:r>
              <w:rPr/>
            </w:r>
          </w:p>
        </w:tc>
        <w:tc>
          <w:tcPr>
            <w:tcW w:w="3600" w:type="dxa"/>
            <w:tcBorders/>
          </w:tcPr>
          <w:p>
            <w:pPr>
              <w:pStyle w:val="Normal"/>
              <w:snapToGrid w:val="false"/>
              <w:jc w:val="center"/>
              <w:rPr/>
            </w:pPr>
            <w:r>
              <w:rPr/>
            </w:r>
          </w:p>
          <w:p>
            <w:pPr>
              <w:pStyle w:val="Normal"/>
              <w:jc w:val="center"/>
              <w:rPr/>
            </w:pPr>
            <w:r>
              <w:rPr/>
              <w:t>Rulemaking 94-04-031</w:t>
            </w:r>
          </w:p>
          <w:p>
            <w:pPr>
              <w:pStyle w:val="Normal"/>
              <w:jc w:val="center"/>
              <w:rPr/>
            </w:pPr>
            <w:r>
              <w:rPr/>
              <w:t>(Filed April 20, 1994)</w:t>
            </w:r>
          </w:p>
        </w:tc>
      </w:tr>
      <w:tr>
        <w:trPr/>
        <w:tc>
          <w:tcPr>
            <w:tcW w:w="5958" w:type="dxa"/>
            <w:tcBorders>
              <w:bottom w:val="single" w:sz="6" w:space="0" w:color="000000"/>
              <w:end w:val="single" w:sz="6" w:space="0" w:color="000000"/>
            </w:tcBorders>
          </w:tcPr>
          <w:p>
            <w:pPr>
              <w:pStyle w:val="Normal"/>
              <w:widowControl w:val="false"/>
              <w:tabs>
                <w:tab w:val="clear" w:pos="720"/>
                <w:tab w:val="left" w:pos="-1440" w:leader="none"/>
                <w:tab w:val="left" w:pos="1440" w:leader="none"/>
                <w:tab w:val="left" w:pos="5472" w:leader="none"/>
              </w:tabs>
              <w:snapToGrid w:val="false"/>
              <w:rPr/>
            </w:pPr>
            <w:r>
              <w:rPr/>
            </w:r>
          </w:p>
          <w:p>
            <w:pPr>
              <w:pStyle w:val="Normal"/>
              <w:widowControl w:val="false"/>
              <w:tabs>
                <w:tab w:val="clear" w:pos="720"/>
                <w:tab w:val="left" w:pos="-1440" w:leader="none"/>
                <w:tab w:val="left" w:pos="1440" w:leader="none"/>
                <w:tab w:val="left" w:pos="5472" w:leader="none"/>
              </w:tabs>
              <w:rPr/>
            </w:pPr>
            <w:r>
              <w:rPr/>
              <w:t>Order Instituting Investigation on the Commission's Proposed Policies Governing Restructuring California's Electric Services Industry and Reforming Regulation.</w:t>
            </w:r>
          </w:p>
          <w:p>
            <w:pPr>
              <w:pStyle w:val="Normal"/>
              <w:tabs>
                <w:tab w:val="clear" w:pos="720"/>
                <w:tab w:val="left" w:pos="1440" w:leader="none"/>
                <w:tab w:val="left" w:pos="3600" w:leader="none"/>
              </w:tabs>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Investigation 94-04-032</w:t>
            </w:r>
          </w:p>
          <w:p>
            <w:pPr>
              <w:pStyle w:val="Normal"/>
              <w:jc w:val="center"/>
              <w:rPr/>
            </w:pPr>
            <w:r>
              <w:rPr/>
              <w:t>(Filed April 20, 1994)</w:t>
            </w:r>
          </w:p>
        </w:tc>
      </w:tr>
    </w:tbl>
    <w:p>
      <w:pPr>
        <w:pStyle w:val="Normal"/>
        <w:rPr/>
      </w:pPr>
      <w:r>
        <w:rPr/>
      </w:r>
    </w:p>
    <w:p>
      <w:pPr>
        <w:pStyle w:val="main"/>
        <w:rPr/>
      </w:pPr>
      <w:r>
        <w:rPr/>
        <w:t>DECISION REGARDING</w:t>
      </w:r>
    </w:p>
    <w:p>
      <w:pPr>
        <w:pStyle w:val="main"/>
        <w:rPr/>
      </w:pPr>
      <w:r>
        <w:rPr/>
        <w:t>BILATERAL CONTRACTS</w:t>
      </w:r>
    </w:p>
    <w:p>
      <w:pPr>
        <w:pStyle w:val="main"/>
        <w:rPr/>
      </w:pPr>
      <w:r>
        <w:rPr/>
      </w:r>
    </w:p>
    <w:p>
      <w:pPr>
        <w:pStyle w:val="Heading1"/>
        <w:ind w:hanging="0" w:end="0"/>
        <w:rPr/>
      </w:pPr>
      <w:r>
        <w:rPr/>
        <w:t>Summary</w:t>
      </w:r>
    </w:p>
    <w:p>
      <w:pPr>
        <w:pStyle w:val="standard"/>
        <w:rPr/>
      </w:pPr>
      <w:r>
        <w:rPr/>
        <w:t>This decision authorizes Pacific Gas and Electric Company (PG&amp;E) and Southern California Edison Company (Edison) to purchase energy and ancillary services and capacity products in the bilateral market and to set up memorandum accounts to track related costs.   Such transactions are confined to previously-authorized limits in the forward market and must expire on or before December 31, 2005.  Reasonableness reviews will be implemented consistent with the market standards adopted in this decision.</w:t>
      </w:r>
    </w:p>
    <w:p>
      <w:pPr>
        <w:pStyle w:val="Heading1"/>
        <w:ind w:hanging="0" w:end="0"/>
        <w:rPr/>
      </w:pPr>
      <w:r>
        <w:rPr/>
        <w:t>Procedural Background</w:t>
      </w:r>
    </w:p>
    <w:p>
      <w:pPr>
        <w:pStyle w:val="standard"/>
        <w:rPr/>
      </w:pPr>
      <w:r>
        <w:rPr/>
        <w:t xml:space="preserve">On July 21, 2000, Edison and PG&amp;E filed emergency motions seeking authorization to enter into bilateral power contracts.   PG&amp;E and Edison state that such authority is needed on an emergency basis in order to better hedge against the risk of price spikes during high load conditions and to introduce new supply into California.  Both PG&amp;E and Edison also seek approval to establish memorandum accounts to track related costs. </w:t>
      </w:r>
    </w:p>
    <w:p>
      <w:pPr>
        <w:pStyle w:val="standard"/>
        <w:rPr/>
      </w:pPr>
      <w:r>
        <w:rPr/>
        <w:t xml:space="preserve">On July 24, 2000, Administrative Law Judge Cooke issued a ruling establishing a procedural schedule for handling the motion. Responses to the motion were filed on July 28, 2000 by </w:t>
      </w:r>
    </w:p>
    <w:p>
      <w:pPr>
        <w:pStyle w:val="Heading1"/>
        <w:ind w:hanging="0" w:end="0"/>
        <w:rPr/>
      </w:pPr>
      <w:r>
        <w:rPr/>
        <w:t>Motion</w:t>
      </w:r>
    </w:p>
    <w:p>
      <w:pPr>
        <w:pStyle w:val="standard"/>
        <w:rPr/>
      </w:pPr>
      <w:r>
        <w:rPr/>
        <w:t>Both PG&amp;E and Edison recognize that electricity supply shortages are a matter of concern both for this summer and the summer of 2001.  PG&amp;E and Edison make these motions pursuant to Rule 81(f), stating that the requests for relief are based on extraordinary conditions in which time is of the essence.  Electric energy prices have increased sharply relative to prior years’ prices and rolling outages have occurred in the Bay Area.  These utilities believe that this authorization will give them needed flexibility to participate directly in the bilateral market and state that they require additional hedging flexibility beyond that offered by the California Power Exchange’s (PX) Block Forward Markets (BFMs).  PG&amp;E and Edison anticipate entering into contracts to provide energy, capacity with associated energy</w:t>
      </w:r>
      <w:r>
        <w:rPr>
          <w:rStyle w:val="FootnoteCharacters"/>
          <w:rStyle w:val="FootnoteReference"/>
        </w:rPr>
        <w:footnoteReference w:id="2"/>
      </w:r>
      <w:r>
        <w:rPr/>
        <w:t xml:space="preserve">, and ancillary services.  PG&amp;E contemplates contracting directly with: 1) suppliers who have chosen not to participate in the PX Block-Forward Markets; 2) owners of transmission capacity who are not fully participating in the PX core markets; and, 3) third party suppliers, to develop new and longer-term energy and capacity products for delivery beyond the end of the rate freeze.  </w:t>
      </w:r>
    </w:p>
    <w:p>
      <w:pPr>
        <w:pStyle w:val="standard"/>
        <w:rPr/>
      </w:pPr>
      <w:r>
        <w:rPr/>
        <w:t xml:space="preserve">PG&amp;E and Edison are convinced that action is needed at the August 3 meeting, stating that if no action is taken until September or later, any positive impact on summer energy prices would effectively be lost. On July 18, 2000, PG&amp;E filed Advice Letter (AL) 2017-E, with a request for an effective date of August 3, 2000, seeking Commission approval of the same tariffs that are attached to this motion and seeking authority to establish a memorandum account to record costs associated with the purchase of energy and ancillary services in the bilateral market for delivery through the PX Day-ahead or Day-of Markets as well as authority to record costs associated with the purchase of capacity with associated energy as a hedging product.  PG&amp;E withdrew AL 2017-E on July 26.  Similarly, Edison filed ALs 1469-E and 1470-E on July 14.  Edison now requests that these advice letters be withdrawn.  </w:t>
      </w:r>
    </w:p>
    <w:p>
      <w:pPr>
        <w:pStyle w:val="standard"/>
        <w:rPr/>
      </w:pPr>
      <w:r>
        <w:rPr/>
        <w:t>PG&amp;E explains that California Trading Services Division (CTS) of the PX currently operates a forward market for monthly sales of energy and ancillary services with a variety of delivery periods and delivery locations.  As originally conceived, the PX forward market was to be for a single on-peak product (6</w:t>
        <w:noBreakHyphen/>
        <w:t>by</w:t>
        <w:noBreakHyphen/>
        <w:t>16 delivery hours).  In its May 26, 1999, order authorizing the PX Block-Forward Market (BFM), the Federal Energy Regulatory Commission (FERC) directed that the PX provide a bilateral delivery option for products purchased in the BFM.  On April 25, 2000, FERC issued an order authorizing CTS to offer: (a) ancillary service forward products; and (b) a service for taking ancillary services purchased and sold in the bilateral market to delivery in the PX market.</w:t>
      </w:r>
    </w:p>
    <w:p>
      <w:pPr>
        <w:pStyle w:val="standard"/>
        <w:rPr/>
      </w:pPr>
      <w:r>
        <w:rPr/>
        <w:t>The bilateral delivery option, where available, allows scheduling and delivery of bilateral transactions to be accomplished transparently through the PX Day-ahead market.  The PX acts as scheduling coordinator for the physical delivery into the PX Day-ahead market and performs other settlement and billing functions.  The ancillary services bilateral option also affords a participant with both supply and demand the ability to designate its own supply to provide ancillary services for its loads.  For those products which the PX’s bilateral delivery service cannot accommodate, PG&amp;E would require that any bilateral contract specify that the products go to physical delivery in the PX Day-ahead or Day-of markets or that PG&amp;E would procure transmission needed to physically deliver into the PX markets.  In such instance, PG&amp;E would make available to the PX, on a confidential basis, the terms of its contract for the purposes of allowing market monitoring.</w:t>
      </w:r>
    </w:p>
    <w:p>
      <w:pPr>
        <w:pStyle w:val="standard"/>
        <w:rPr/>
      </w:pPr>
      <w:r>
        <w:rPr/>
        <w:t>PG&amp;E seeks Commission authorization to establish a Power Exchange Bilateral Option Memorandum Account (PXBOMA) to record costs associated with PG&amp;E’s participation in bilateral contracts for energy.  In the memorandum account, PG&amp;E also will record costs associated with the purchase of capacity products.  Edison proposes to establish a Near-Term Bilateral Contract Memorandum Account and a Medium-Term Bilateral Contract Memorandum Account.</w:t>
      </w:r>
    </w:p>
    <w:p>
      <w:pPr>
        <w:pStyle w:val="standard"/>
        <w:rPr/>
      </w:pPr>
      <w:r>
        <w:rPr/>
        <w:t>Neither PG&amp;E nor Edison is requesting any increase in the current purchase limits for the forward energy products, including capacity products. However, PG&amp;E requests an extension beyond the rate freeze end to December 31, 2003, for participation in the PX forward markets.  That is, PG&amp;E will not enter into any such transactions after the transition period ends (March 31, 2002), but requests that the term of the contracts entered into may extend to December 31, 2003.  PG&amp;E believes such an extension is appropriate in order provide customers with some price stability following the end of the rate freeze and to increase the potential amount of supplies available for bilateral. PG&amp;E proposes the following approach to determine prospectively whether a particular purchase meets a predefined reasonableness threshold:</w:t>
      </w:r>
    </w:p>
    <w:p>
      <w:pPr>
        <w:pStyle w:val="standard"/>
        <w:numPr>
          <w:ilvl w:val="0"/>
          <w:numId w:val="2"/>
        </w:numPr>
        <w:spacing w:lineRule="auto" w:line="240"/>
        <w:rPr/>
      </w:pPr>
      <w:r>
        <w:rPr/>
        <w:t xml:space="preserve">Identify for the Energy Division and the Office of Ratepayer Advocates (ORA), ahead of time the specific sources of prices offered in the market for energy, ancillary services and capacity products that will be used to price the bilateral transactions.  For example, PG&amp;E could use the weekly range of prices for energy services offered in the market in the same week that PG&amp;E procured incremental bilateral energy purchases.  These identified sources will provide a target price range for PG&amp;E’s contracts.  Any purchases made by PG&amp;E within this approved price range will be reasonable </w:t>
      </w:r>
      <w:r>
        <w:rPr>
          <w:i/>
        </w:rPr>
        <w:t>per se</w:t>
      </w:r>
      <w:r>
        <w:rPr/>
        <w:t xml:space="preserve">.  </w:t>
      </w:r>
    </w:p>
    <w:p>
      <w:pPr>
        <w:pStyle w:val="standard"/>
        <w:spacing w:lineRule="auto" w:line="240"/>
        <w:rPr/>
      </w:pPr>
      <w:r>
        <w:rPr/>
      </w:r>
    </w:p>
    <w:p>
      <w:pPr>
        <w:pStyle w:val="standard"/>
        <w:numPr>
          <w:ilvl w:val="0"/>
          <w:numId w:val="2"/>
        </w:numPr>
        <w:spacing w:lineRule="auto" w:line="240" w:before="0" w:after="120"/>
        <w:rPr/>
      </w:pPr>
      <w:r>
        <w:rPr/>
        <w:t>As PG&amp;E enters into new bilateral purchases, PG&amp;E will similarly identify the price range for the specific products being procured.  The Energy Division and ORA will be able to validate the price range based on the same market price sources identified ahead of time.  PG&amp;E will submit in its monthly reports an updated set of the prices provided by these sources and used by PG&amp;E for determining the reasonableness threshold, along with detailed trade information noted above for new bilateral transactions.</w:t>
      </w:r>
    </w:p>
    <w:p>
      <w:pPr>
        <w:pStyle w:val="standard"/>
        <w:rPr/>
      </w:pPr>
      <w:r>
        <w:rPr/>
        <w:t>Edison requests that the Commission authorize purchases that have delivery up through December 31, 2005. Edison believes that this term is necessary to attract new supply and to ensure stable prices.  For those contracts with power delivery occurring prior to January 1, 2003, Edison would agree to reasonableness reviews on a portfolio basis if a tolerance band is exceeded.  That is, the Commission would initiate a reasonableness review if the average price of Edison’s bilateral transactions delivered or requiring delivery over the course of an annual period exceeds by more than 20% the average price of its portfolio of transactions that is deemed reasonable by prior Commission decisions.  Edison proposes that the first record period for review of bilateral transactions begin with approval of its motion and end June 30, 2001.  The reasonableness review could be conducted in its Annual Transition Cost Proceeding (ATCP).</w:t>
      </w:r>
    </w:p>
    <w:p>
      <w:pPr>
        <w:pStyle w:val="standard"/>
        <w:rPr/>
      </w:pPr>
      <w:r>
        <w:rPr/>
        <w:t xml:space="preserve">For those contracts with delivery occurring after December 31, 2002, Edison proposes to make a compliance filing with the Energy Division for pre-approval of the bilateral contract.  If Energy Division does not approval the contract within a very short timeframe, the contract would expire on its own terms.  Edison believes that different review procedures are appropriate.  The volume of near-term transactions is likely to be high and Edison believes individual review is onerous.  In addition, using a benchmark of transactions that are deemed per se reasonable may be a useful comparison tool for reasonableness.  Edison recognizes that a clear benchmark is not evident for medium-term contracts and such contracts are likely to require individual review. </w:t>
      </w:r>
    </w:p>
    <w:p>
      <w:pPr>
        <w:pStyle w:val="Heading1"/>
        <w:ind w:hanging="0" w:end="0"/>
        <w:rPr/>
      </w:pPr>
      <w:r>
        <w:rPr/>
        <w:t>Discussion</w:t>
      </w:r>
    </w:p>
    <w:p>
      <w:pPr>
        <w:pStyle w:val="standard"/>
        <w:rPr/>
      </w:pPr>
      <w:r>
        <w:rPr/>
        <w:t xml:space="preserve">As initial matter, we address procedural issues.  Rule 77.7(f) similarly provides for waiver or reduction of the comment period in an unforeseen emergency situation.  An unforeseen emergency situation is defined in Rule 81(f) to include “[r]equests for relief based on extraordinary conditions in which time is of the essence.”   </w:t>
      </w:r>
    </w:p>
    <w:p>
      <w:pPr>
        <w:pStyle w:val="standard"/>
        <w:rPr/>
      </w:pPr>
      <w:r>
        <w:rPr/>
        <w:t xml:space="preserve">We are convinced that the motions of PG&amp;E and Edison fall under Rule 77.7(f) and Rule 81(f).  The problems in the wholesale electric commodity markets demand that the utilities have a variety of options at their disposal.  A combination of heat waves across the West,  a drop in reserves, and a substantial increase in demand have resulted in significantly higher wholesale energy costs.  The California Independent System Operator (ISO) has declared several emergencies this summer which have led to voluntary curtailments and rolling outages.  In a separate decision, we have considered the issues associated with increased electric commodity costs and the associated increase in rates in SDG&amp;E’s service territory.  California consumers could face continued curtailments and rolling blackouts during the peak summer season.  California ratepayers should therefore benefit from additional procurement options for PG&amp;E and Edison, if such hedges are structured to minimize ratepayers’ costs, i.e., to obtain the commodity at less than current market prices.  </w:t>
      </w:r>
    </w:p>
    <w:p>
      <w:pPr>
        <w:pStyle w:val="standard"/>
        <w:rPr/>
      </w:pPr>
      <w:r>
        <w:rPr/>
        <w:t>PG&amp;E and Edison currently have Commission authorization to participate in the PX BFM energy and ancillary services market. PG&amp;E is now requesting Commission authorization to use the bilateral option feature of the CTS.</w:t>
      </w:r>
      <w:r>
        <w:rPr>
          <w:rStyle w:val="FootnoteCharacters"/>
          <w:rStyle w:val="FootnoteReference"/>
          <w:rFonts w:cs="Times New Roman" w:ascii="Times New Roman" w:hAnsi="Times New Roman"/>
          <w:u w:val="single"/>
        </w:rPr>
        <w:footnoteReference w:id="3"/>
      </w:r>
      <w:r>
        <w:rPr>
          <w:vertAlign w:val="superscript"/>
        </w:rPr>
        <w:t>/</w:t>
      </w:r>
      <w:r>
        <w:rPr/>
        <w:t xml:space="preserve">  We agree this is an appropriate “next step.” The PX has continually enhanced its BFM, including the bilateral option.  The bilateral option has evolved to the point where delivery may be accomplished through the PX Day-ahead Market.  Entering into appropriate bilateral transactions and providing delivery through the PX may be valuable in hedging against price spikes in the PX Day-ahead and ISO spot markets, while ensuring price transparency. </w:t>
      </w:r>
    </w:p>
    <w:p>
      <w:pPr>
        <w:pStyle w:val="standard"/>
        <w:rPr/>
      </w:pPr>
      <w:r>
        <w:rPr/>
        <w:t xml:space="preserve">PG&amp;E and Edison are currently authorized to participate in the PX forward markets for energy services, subject to quarterly trading limits, through the end of their rate freeze.  In D. 00-06-034, we stated that during the rate freeze period the utilities have an incentive to minimize the costs of procurement for bundled service customers due to the ”headroom” concept and the residual calculation of the CTC.  Therefore, we agree that PG&amp;E and Edison have an incentive to prudently use bilateral purchases. PG&amp;E believes that this incentive aligns the interests of PG&amp;E with those of its customers and is sufficiently strong to obviate the need for any further reasonableness review of the transactions proposed here.  PG&amp;E recognizes that this incentive ends after the rate freeze expires, but states that it has no incentive to risk customer dissatisfaction or enter into imprudent transactions.  </w:t>
      </w:r>
    </w:p>
    <w:p>
      <w:pPr>
        <w:pStyle w:val="standard"/>
        <w:rPr/>
      </w:pPr>
      <w:r>
        <w:rPr/>
        <w:t xml:space="preserve">While we appreciate these sentiments, we recognize that these emergency motions were filed on July 21, with errata filed as late as July 26.  Parties are filing comments on an expedited basis and will have no opportunity to comment on the draft decision. We will commit to reviewing these transactions for reasonableness.  Therefore, we will authorize PG&amp;E and Edison to enter only into contracts that expire on or before  December 31, 2005.  This authorization recognizes that it may be prudent to enter into near-term bilateral contracts, but does not unduly extend this authority beyond the midterm.  We will hold PG&amp;E and Edison to the purchase limits already approved for forward energy products, including capacity products. </w:t>
      </w:r>
    </w:p>
    <w:p>
      <w:pPr>
        <w:pStyle w:val="standard"/>
        <w:rPr/>
      </w:pPr>
      <w:r>
        <w:rPr/>
        <w:t>In D.00-06-034 (</w:t>
      </w:r>
      <w:r>
        <w:rPr>
          <w:i/>
        </w:rPr>
        <w:t>mimeo.</w:t>
      </w:r>
      <w:r>
        <w:rPr/>
        <w:t xml:space="preserve">, at pp. 40-41), we approved the UDCs’ purchase of electricity through the CalPX day-ahead, day of and block forward markets and similar markets in qualified exchanges, and the ISO imbalance energy market, and deemed the prices paid for these products as reasonable.  </w:t>
      </w:r>
    </w:p>
    <w:p>
      <w:pPr>
        <w:pStyle w:val="standard"/>
        <w:rPr/>
      </w:pPr>
      <w:r>
        <w:rPr/>
        <w:t xml:space="preserve">We have not previously considered the prudence of bilateral transactions, and do not plan to establish policy that will determine the prudence of all bilateral contracts.  </w:t>
      </w:r>
    </w:p>
    <w:p>
      <w:pPr>
        <w:pStyle w:val="standard"/>
        <w:rPr/>
      </w:pPr>
      <w:r>
        <w:rPr/>
        <w:t>Within the context of the emergency filing of PG&amp;E and the need for California to acquire new sources of power, we find the proposed reasonableness standards of PG&amp;E acceptable for near and interim purchases subject to the quantity restrictions previously adopted.  Under PG&amp;E’s proposed standard, PG&amp;E will identify for the Energy Division and the Office of Ratepayer Advocates, ahead of time the specific sources of prices offered in the market for energy, ancillary services and capacity products that will be used to price the bilateral transactions.  These identified sources will provide a target price range for PG&amp;E’s contracts.  Any purchases made by PG&amp;E within this approved range will be reasonable per se.  In addition, as PG&amp;E enters into new bilateral purchases, PG&amp;E will similarly identify a price range for the specific products being procured.  The Energy Division and ORA will be able to validate the price range based on the same market price sources identified ahead of time.  PG&amp;E should also submit monthly reports including an updated set of prices provided by the market sources and used by PG&amp;E for determining the reasonableness threshold, along with detailed information concerning the bilateral transactions.  The first record period for bilateral transactions shall commence upon implementation of the attached tariffs.  If a reasonableness review is indicated, such review should be conducted as part of PG&amp;E’s ATCP.</w:t>
      </w:r>
    </w:p>
    <w:p>
      <w:pPr>
        <w:pStyle w:val="standard"/>
        <w:rPr/>
      </w:pPr>
      <w:r>
        <w:rPr/>
        <w:t xml:space="preserve">SCE proposes two procedures for assessing the reasonableness of bilateral contracts signed in this emergency setting – one standard for near-term contracts in which all power is delivered prior to January 1, 2003, and a standard for medium-term contracts where some power is delivered after December 31, 2002.  </w:t>
      </w:r>
    </w:p>
    <w:p>
      <w:pPr>
        <w:pStyle w:val="standard"/>
        <w:rPr/>
      </w:pPr>
      <w:r>
        <w:rPr/>
        <w:t>For the near term contracts, SCE proposes that the Commission conduct reviews on a portfolio basis if a tolerance band is exceeded.  SCE proposes that if the average price of SCE’s bilateral transactions delivered or requiring delivery over the course of an annual period exceeds by more than 20% the average price of SCE’s corresponding portfolio of transactions delivered or requiring deliver over the same period, then the Commission can initiate a reasonableness review.  Reasonableness reviews, to the extent needed, would take place as part of SCE’s Annual Transition Cost Proceeding.</w:t>
      </w:r>
    </w:p>
    <w:p>
      <w:pPr>
        <w:pStyle w:val="standard"/>
        <w:rPr/>
      </w:pPr>
      <w:r>
        <w:rPr/>
        <w:t>As with PG&amp;E, there is much merit in a simple, market-based approach. We adopt Edison’s proposal for the review of near term contracts with one modification.  We believe that the band should be 5%, not 20%.  The purpose of the bilateral contracts is to find cost-effective sources of power.  Although Edison’s bilateral contracts may lower prices in the bilateral markets, thereby making the post-contract standards tighter than currently seen, we find the 20% margin too large.  On a portfolio basis, SCE should be able to approximate the market standard and a margin of only 5% is reasonable.</w:t>
      </w:r>
    </w:p>
    <w:p>
      <w:pPr>
        <w:pStyle w:val="standard"/>
        <w:rPr/>
      </w:pPr>
      <w:r>
        <w:rPr/>
        <w:t>For medium term contracts, SCE proposes that it make a compliance filing for pre-approval of the bilateral contract with justifying support for the contract.  The Energy Division would then approve or disapprove the contract within 10 calendar days, with the terms afforded Section 583 confidentiality.</w:t>
      </w:r>
    </w:p>
    <w:p>
      <w:pPr>
        <w:pStyle w:val="standard"/>
        <w:rPr/>
      </w:pPr>
      <w:r>
        <w:rPr/>
        <w:t>This procedure for review follows those used by the Commission in telecommunications markets as competition emerged, and with one modification, can offer a reasonable approach for reviewing these contracts.  The ten-day review period is too short, and we adopt a review period of 30 days.  If the Energy Division believes modification to or rejection of the contract is required, it may place a proposal to do so on the Commission’s Agenda at the earliest possible date.  Is such an item is placed on the Agenda, the contract will not be considered approved until full Commission approval is granted, or Energy Division withdraws the Agenda item.</w:t>
      </w:r>
    </w:p>
    <w:p>
      <w:pPr>
        <w:pStyle w:val="standard"/>
        <w:rPr/>
      </w:pPr>
      <w:r>
        <w:rPr/>
        <w:t xml:space="preserve">The Commission will continue to oversee procurement practices.  We direct Energy Division to monitor these purchases and to report to us on a quarterly basis.  In addition, PG&amp;E and Edison must immediately identify any markets in which its affiliates or subsidiaries operate and in which these utilities intend to procure electricity or ancillary services.  </w:t>
      </w:r>
    </w:p>
    <w:p>
      <w:pPr>
        <w:pStyle w:val="standard"/>
        <w:rPr/>
      </w:pPr>
      <w:r>
        <w:rPr/>
        <w:t>We approve the PXBOMA and the Near-Term Bilateral Contract Memorandum Account. Costs incurred for participation in the bilateral options will be recorded in these accounts.  We will allow adjustments to Schedule PX.  To the extent that reasonableness reviews based on the standards adopted herein reveal imprudent procurement activities, rates will be subject to refund. PG&amp;E and Edison should disclose all these bilateral transactions to the Energy Division on a confidential basis in a monthly report.</w:t>
      </w:r>
    </w:p>
    <w:p>
      <w:pPr>
        <w:pStyle w:val="Heading1"/>
        <w:ind w:hanging="0" w:end="0"/>
        <w:rPr/>
      </w:pPr>
      <w:r>
        <w:rPr/>
        <w:t>Responses and Further Discussion</w:t>
      </w:r>
    </w:p>
    <w:p>
      <w:pPr>
        <w:pStyle w:val="standard"/>
        <w:rPr/>
      </w:pPr>
      <w:r>
        <w:rPr/>
        <w:t>The Commission received responses to the motions of PG&amp;E and Edison from TURN, the Western Power Trading Forum (WPTF), the Alliance for Retail Markets (ARM), the California Farm Bureau Federation (Farm Bureau), the California Large Energy Consumers Association (CLECA), the California Department of General Services (DGS), ORA, the California Power Exchange (CalPX), the California Manufacturers and Technology Association (CMTA) and the Automated Power Exchange (APX).  All oppose the motions.</w:t>
      </w:r>
    </w:p>
    <w:p>
      <w:pPr>
        <w:pStyle w:val="standard"/>
        <w:rPr/>
      </w:pPr>
      <w:r>
        <w:rPr/>
        <w:t>TURN expresses strong opposition to any grant of authority to make any grant of authority to make bilateral purchases, arguing that it violates Section 355.1 of the Public Utilities Code.  TURN further argues that, if we do grant the authority requested, it should be sharply circumscribed in time and quantity.</w:t>
      </w:r>
    </w:p>
    <w:p>
      <w:pPr>
        <w:pStyle w:val="standard"/>
        <w:rPr/>
      </w:pPr>
      <w:r>
        <w:rPr/>
        <w:t>In response to TURN, we note that Section 355.1 of the PU Code addresses purchases from an exchange other than the PX.  The code is silent on bilateral purchases.  Moreover, the PX itself has procedures and schedules to accommodate such purchases.  Moreover, we deem that the authority granted today is sharply circumscribed, limited in both time and quantity.  It is but an incremental step forward from the authority to participate in Block Forward Markets that we recently granted.  In addition, the bilateral contracts will remain subject to Commission review.</w:t>
      </w:r>
    </w:p>
    <w:p>
      <w:pPr>
        <w:pStyle w:val="standard"/>
        <w:rPr/>
      </w:pPr>
      <w:r>
        <w:rPr/>
        <w:t>ARM argues that the current situation does not constitute an emergency.  ARM argues that the rate freeze now in effect protects Edison’s and PG&amp;E’s customers.  ARM argues that the utility proposals are long-term, not short-term. ARM further states that the proposals that ensure the confidentiality of price data will jeopardize the transparency of prices on the PX and jeopardize its liquidity.  The further argue that acting constitutes legal error.</w:t>
      </w:r>
    </w:p>
    <w:p>
      <w:pPr>
        <w:pStyle w:val="standard"/>
        <w:rPr/>
      </w:pPr>
      <w:r>
        <w:rPr/>
        <w:t xml:space="preserve">In response to the arguments of ARM, we view it duplicitous to argue that because of the rate freeze there is no emergency.  Customers face rolling blackouts and service disruptions.  In addition, the bill for this summer’s high electricity costs will come due soon – a price freeze does not make these costs disappear.  Further, we deem the proposals of Edison and PG&amp;E as short and mid term, not long term.  In the past, long term contracts were for 5 to 20 years.  Concerning bilateral contracts, they do not jeopardize price signals or liquidity in markets.  Prices are set at the margin, and bilateral contracts for power are infra-marginal purchases.  Thus, the contracts have no effect on the marginal price signals.  Illiquidity arises from demand exceeding market supply, and bilateral contracts will add to liquidity by reducing the demand in ISO and PX spot markets.  Finally, our actions are legal and completely consistent with our authority to respond to market conditions requiring emergency actions.  Moreover, parties have had a full opportunity to respond to the motions of Edison and PG&amp;E, and we have given their views full consideration.  </w:t>
      </w:r>
    </w:p>
    <w:p>
      <w:pPr>
        <w:pStyle w:val="standard"/>
        <w:rPr/>
      </w:pPr>
      <w:r>
        <w:rPr/>
        <w:t>WPTF similarly argues for continuing restrictions on bilateral contracts and asks for public review and disclosure of contract terms.  They argue that granting authority to procure bilateral contracts would constitute a major structural change to the market, and that current circumstances do not constitute an emergency.</w:t>
      </w:r>
    </w:p>
    <w:p>
      <w:pPr>
        <w:pStyle w:val="standard"/>
        <w:rPr/>
      </w:pPr>
      <w:r>
        <w:rPr/>
        <w:t>In response to WPTF, we again stress that our actions today constitute only an incremental step beyond the authority to participate in block forward markets already granted to PG&amp;E and Edison.  Moreover, actions to procure more power are the logical market responses to the rising prices, blackouts, and service interruptions that any functioning market would facilitate, not prohibit.  Finally, we note that we have addressed the issue of an emergency previously.</w:t>
      </w:r>
    </w:p>
    <w:p>
      <w:pPr>
        <w:pStyle w:val="standard"/>
        <w:rPr/>
      </w:pPr>
      <w:r>
        <w:rPr/>
        <w:t>CLECA argues that there is no emergency, and questions whether contracting for power is the best response.  Clearly, we find that there is an emergency.  Moreover, contracting for additional power is the best alternative before the Commission, and one that has the support of logic, market tradition, and practice in other states.</w:t>
      </w:r>
    </w:p>
    <w:p>
      <w:pPr>
        <w:pStyle w:val="standard"/>
        <w:rPr/>
      </w:pPr>
      <w:r>
        <w:rPr/>
        <w:t>The Farm Bureau raises legal objections to granting the motion.  They raise the argument that PU Code Section 355.1 precludes bilateral contracting by Edison and PG&amp;E.  They argue that market hedging products should be explored, and raise doubts concerning the efficacy of bilateral contracting.</w:t>
      </w:r>
    </w:p>
    <w:p>
      <w:pPr>
        <w:pStyle w:val="standard"/>
        <w:rPr/>
      </w:pPr>
      <w:r>
        <w:rPr/>
        <w:t>In response, we note that we have already addressed the Section 355.1 argument.  Moreover, the Farm Bureau provides no rationale why bilateral purchases, widely used throughout this country and the world to ensure price stability, should not work in California.  Their assertions are therefore not persuasive.</w:t>
      </w:r>
    </w:p>
    <w:p>
      <w:pPr>
        <w:pStyle w:val="standard"/>
        <w:rPr/>
      </w:pPr>
      <w:r>
        <w:rPr/>
        <w:t>ORA also comments that there is no emergency, that hearings are legally necessary, and that our action would constitute a long-term change in policy.  We have previously considered the legal arguments and find that they lack merit.   Moreover, Commission precedent is clear that there is no absolute entitlement to an evidentiary hearing under PU Code Section 1708.  (See CAUSE v. SDG&amp;E, 74 Cal. P.U.C.2d 613, 615 (1997).)  The comments also do not identify specific material factual issues to be determined at such a hearing.  Concerning the policy issue, our actions today are incremental and have no effect on long-term policy.</w:t>
      </w:r>
    </w:p>
    <w:p>
      <w:pPr>
        <w:pStyle w:val="standard"/>
        <w:rPr/>
      </w:pPr>
      <w:r>
        <w:rPr/>
        <w:t>APX, CalPX and DGS and CMTA raise objections to the motions.  There objections parallel those raised by parties that we addressed above.  We find nothing in these comments that dissuades us from our action to address this emergency situation.</w:t>
      </w:r>
    </w:p>
    <w:p>
      <w:pPr>
        <w:pStyle w:val="Heading1"/>
        <w:ind w:hanging="0" w:end="0"/>
        <w:rPr/>
      </w:pPr>
      <w:r>
        <w:rPr/>
        <w:t>Comments on Draft Decision</w:t>
      </w:r>
    </w:p>
    <w:p>
      <w:pPr>
        <w:pStyle w:val="standard"/>
        <w:rPr/>
      </w:pPr>
      <w:r>
        <w:rPr/>
        <w:t xml:space="preserve">Pursuant to Rule 77.7(f) of the Commission’s Rules of Practice and Procedure, as discussed above, the period for public review and comment of this draft decision is waived. </w:t>
      </w:r>
    </w:p>
    <w:p>
      <w:pPr>
        <w:pStyle w:val="Heading1"/>
        <w:ind w:hanging="0" w:end="0"/>
        <w:rPr/>
      </w:pPr>
      <w:r>
        <w:rPr/>
        <w:t>Findings of Fact</w:t>
      </w:r>
    </w:p>
    <w:p>
      <w:pPr>
        <w:pStyle w:val="num1"/>
        <w:numPr>
          <w:ilvl w:val="0"/>
          <w:numId w:val="5"/>
        </w:numPr>
        <w:rPr/>
      </w:pPr>
      <w:r>
        <w:rPr/>
        <w:t>Problems in the wholesale electric commodity markets demand that the utilities have a variety of options at their disposal.</w:t>
      </w:r>
    </w:p>
    <w:p>
      <w:pPr>
        <w:pStyle w:val="num1"/>
        <w:numPr>
          <w:ilvl w:val="0"/>
          <w:numId w:val="5"/>
        </w:numPr>
        <w:rPr/>
      </w:pPr>
      <w:r>
        <w:rPr/>
        <w:t xml:space="preserve">It is reasonable to take steps in authorizing these transactions. </w:t>
      </w:r>
    </w:p>
    <w:p>
      <w:pPr>
        <w:pStyle w:val="num1"/>
        <w:numPr>
          <w:ilvl w:val="0"/>
          <w:numId w:val="5"/>
        </w:numPr>
        <w:rPr/>
      </w:pPr>
      <w:r>
        <w:rPr/>
        <w:t xml:space="preserve">We agree that PG&amp;E and Edison have proposed market measures that, with modifications, provide an incentive to use the bilateral purchase option prudently. </w:t>
      </w:r>
    </w:p>
    <w:p>
      <w:pPr>
        <w:pStyle w:val="num1"/>
        <w:numPr>
          <w:ilvl w:val="0"/>
          <w:numId w:val="5"/>
        </w:numPr>
        <w:rPr/>
      </w:pPr>
      <w:r>
        <w:rPr/>
        <w:t>It is reasonable to authorize PG&amp;E and Edison to enter into contracts that expire on or before December 31, 2005.  We will hold PG&amp;E and Edison to the purchase limits already approved for forward energy products, including capacity products.</w:t>
      </w:r>
    </w:p>
    <w:p>
      <w:pPr>
        <w:pStyle w:val="Heading1"/>
        <w:ind w:hanging="0" w:end="0"/>
        <w:rPr/>
      </w:pPr>
      <w:r>
        <w:rPr/>
        <w:t>Conclusions of Law</w:t>
      </w:r>
    </w:p>
    <w:p>
      <w:pPr>
        <w:pStyle w:val="num1"/>
        <w:numPr>
          <w:ilvl w:val="0"/>
          <w:numId w:val="4"/>
        </w:numPr>
        <w:rPr/>
      </w:pPr>
      <w:r>
        <w:rPr/>
        <w:t>This authorization described in this decision recognizes that it may be prudent to enter into near-term and mid-term bilateral contracts, but does not unduly extend this authority.</w:t>
      </w:r>
    </w:p>
    <w:p>
      <w:pPr>
        <w:pStyle w:val="num1"/>
        <w:numPr>
          <w:ilvl w:val="0"/>
          <w:numId w:val="4"/>
        </w:numPr>
        <w:rPr/>
      </w:pPr>
      <w:r>
        <w:rPr/>
        <w:t>The Commission should continue to oversee procurement practices. PG&amp;E and Edison are put on notice that their purchasing decisions must meet the standards adopted herein. PG&amp;E and Edison should disclose all bilateral transactions to the Energy Division on a confidential basis in a monthly report.</w:t>
      </w:r>
    </w:p>
    <w:p>
      <w:pPr>
        <w:pStyle w:val="num1"/>
        <w:numPr>
          <w:ilvl w:val="0"/>
          <w:numId w:val="4"/>
        </w:numPr>
        <w:rPr/>
      </w:pPr>
      <w:r>
        <w:rPr/>
        <w:t>It is reasonable to approve the PXBOMA and the Near-Term Bilateral Contract Memorandum Account. Costs incurred for participation in the bilateral options will be recorded in these accounts.  We will allow adjustments to Schedule PX.  To the extent that reasonableness reviews reveal imprudent procurement activities, rates will be subject to refund.</w:t>
      </w:r>
    </w:p>
    <w:p>
      <w:pPr>
        <w:pStyle w:val="num1"/>
        <w:numPr>
          <w:ilvl w:val="0"/>
          <w:numId w:val="4"/>
        </w:numPr>
        <w:rPr/>
      </w:pPr>
      <w:r>
        <w:rPr/>
        <w:t>Pursuant to Rule 77.7(f), we find that the motions present an unforeseen emergency situation as defined in Rule 81(f).  Thus, we determine that public necessity requires a waiver of the public review and comment period.</w:t>
      </w:r>
    </w:p>
    <w:p>
      <w:pPr>
        <w:pStyle w:val="num1"/>
        <w:numPr>
          <w:ilvl w:val="0"/>
          <w:numId w:val="4"/>
        </w:numPr>
        <w:rPr/>
      </w:pPr>
      <w:r>
        <w:rPr/>
        <w:t>This order should be effective today, so that these provisions may be implemented expeditiously.</w:t>
      </w:r>
    </w:p>
    <w:p>
      <w:pPr>
        <w:pStyle w:val="num1"/>
        <w:numPr>
          <w:ilvl w:val="0"/>
          <w:numId w:val="0"/>
        </w:numPr>
        <w:ind w:hanging="0" w:start="0"/>
        <w:rPr/>
      </w:pPr>
      <w:r>
        <w:rPr/>
      </w:r>
    </w:p>
    <w:p>
      <w:pPr>
        <w:pStyle w:val="num1"/>
        <w:numPr>
          <w:ilvl w:val="0"/>
          <w:numId w:val="0"/>
        </w:numPr>
        <w:ind w:hanging="0" w:start="0"/>
        <w:jc w:val="center"/>
        <w:rPr>
          <w:b/>
        </w:rPr>
      </w:pPr>
      <w:r>
        <w:rPr>
          <w:b/>
        </w:rPr>
        <w:t>O R D E R</w:t>
      </w:r>
    </w:p>
    <w:p>
      <w:pPr>
        <w:pStyle w:val="Normal"/>
        <w:keepNext w:val="true"/>
        <w:rPr>
          <w:b/>
        </w:rPr>
      </w:pPr>
      <w:r>
        <w:rPr>
          <w:b/>
        </w:rPr>
      </w:r>
    </w:p>
    <w:p>
      <w:pPr>
        <w:pStyle w:val="standard"/>
        <w:keepNext w:val="true"/>
        <w:rPr/>
      </w:pPr>
      <w:r>
        <w:rPr/>
        <w:t>Therefore</w:t>
      </w:r>
      <w:r>
        <w:rPr>
          <w:b/>
        </w:rPr>
        <w:t>, IT IS ORDERED</w:t>
      </w:r>
      <w:r>
        <w:rPr/>
        <w:t xml:space="preserve"> that:</w:t>
      </w:r>
    </w:p>
    <w:p>
      <w:pPr>
        <w:pStyle w:val="num1"/>
        <w:numPr>
          <w:ilvl w:val="0"/>
          <w:numId w:val="3"/>
        </w:numPr>
        <w:rPr/>
      </w:pPr>
      <w:r>
        <w:rPr/>
        <w:t>The Emergency Motions of Pacific Gas and Electric Company (PG&amp;E) and Southern California Edison Company (Edison), filed on July 21, 2000, and associated errata filed on July 26, are granted to the extent set forth herein.</w:t>
      </w:r>
    </w:p>
    <w:p>
      <w:pPr>
        <w:pStyle w:val="num1"/>
        <w:numPr>
          <w:ilvl w:val="0"/>
          <w:numId w:val="3"/>
        </w:numPr>
        <w:rPr/>
      </w:pPr>
      <w:r>
        <w:rPr/>
        <w:t xml:space="preserve">PG&amp;E and Edison are authorized to enter only into bilateral contracts that expire on or before December 31, 2005.  We shall hold PG&amp;E and Edison to the purchase limits already approved for forward energy products, including capacity products. </w:t>
      </w:r>
    </w:p>
    <w:p>
      <w:pPr>
        <w:pStyle w:val="num1"/>
        <w:numPr>
          <w:ilvl w:val="0"/>
          <w:numId w:val="3"/>
        </w:numPr>
        <w:rPr/>
      </w:pPr>
      <w:r>
        <w:rPr/>
        <w:t>The Power Exchange Bilateral Option Memorandum Account (PG&amp;E) and the Near-Term Bilateral Contract Memorandum Account (Edison) are approved.  Costs incurred for participation in the bilateral options shall be recorded in these accounts.  We shall allow adjustments to Schedule PX. To the extent that reasonableness reviews reveal imprudent procurement activities, rates are subject to refund.</w:t>
      </w:r>
    </w:p>
    <w:p>
      <w:pPr>
        <w:pStyle w:val="num1"/>
        <w:numPr>
          <w:ilvl w:val="0"/>
          <w:numId w:val="3"/>
        </w:numPr>
        <w:rPr/>
      </w:pPr>
      <w:r>
        <w:rPr/>
        <w:t>PG&amp;E and Edison shall disclose all these bilateral transactions to the Energy Division on a confidential basis in a monthly report.  The Energy Division shall monitor PG&amp;E’s and Edison’s purchasing practices and report to the Commission on a quarterly basis.  Within five days of the effective date of this decision, PG&amp;E and Edison shall file and serve a compliance advice letter to inform the Commission of any markets in which its affiliates or subsidiaries operate and in which PG&amp;E and Edison intend to procure electricity or ancillary services.</w:t>
      </w:r>
    </w:p>
    <w:p>
      <w:pPr>
        <w:pStyle w:val="num1"/>
        <w:numPr>
          <w:ilvl w:val="0"/>
          <w:numId w:val="3"/>
        </w:numPr>
        <w:rPr/>
      </w:pPr>
      <w:r>
        <w:rPr/>
        <w:t xml:space="preserve">The Executive Director shall serve this decision on parties of record in A.99-01-016 et al. </w:t>
      </w:r>
    </w:p>
    <w:p>
      <w:pPr>
        <w:pStyle w:val="num1"/>
        <w:numPr>
          <w:ilvl w:val="0"/>
          <w:numId w:val="0"/>
        </w:numPr>
        <w:ind w:hanging="0" w:start="0"/>
        <w:rPr/>
      </w:pPr>
      <w:r>
        <w:rPr/>
        <w:tab/>
        <w:t>This order is effective today.</w:t>
      </w:r>
    </w:p>
    <w:p>
      <w:pPr>
        <w:pStyle w:val="Normal"/>
        <w:rPr/>
      </w:pPr>
      <w:r>
        <w:rPr/>
        <w:tab/>
        <w:t>Dated August 3, 2000, at San Francisco, California.</w:t>
      </w:r>
    </w:p>
    <w:p>
      <w:pPr>
        <w:pStyle w:val="Normal"/>
        <w:rPr/>
      </w:pPr>
      <w:r>
        <w:rPr/>
      </w:r>
    </w:p>
    <w:p>
      <w:pPr>
        <w:pStyle w:val="Normal"/>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JOSIAH L. NEEPER</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 xml:space="preserve">            Commissioners</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17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76675</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 capacity with associated energy product reserves electrical capacity to be called upon to deliver electrical energy at a specified price when required by the buyer or when certain contract-specified conditions are met.</w:t>
      </w:r>
    </w:p>
  </w:footnote>
  <w:footnote w:id="3">
    <w:p>
      <w:pPr>
        <w:pStyle w:val="FootnoteText"/>
        <w:spacing w:before="0" w:after="120"/>
        <w:rPr/>
      </w:pPr>
      <w:r>
        <w:rPr>
          <w:rStyle w:val="FootnoteCharacters"/>
        </w:rPr>
        <w:footnoteRef/>
      </w:r>
      <w:r>
        <w:rPr/>
        <w:t xml:space="preserve"> </w:t>
      </w:r>
      <w:r>
        <w:rPr>
          <w:vertAlign w:val="superscript"/>
        </w:rPr>
        <w:t>/</w:t>
      </w:r>
      <w:r>
        <w:rPr/>
        <w:tab/>
      </w:r>
      <w:r>
        <w:rPr>
          <w:sz w:val="22"/>
        </w:rPr>
        <w:t>As described by Resolution E-3672, issued by the Commission on June 8, 2000, “The PX CTS proposed two categories of service enhancements relating to the availability of ancillary services.  The first category is bilateral scheduling and delivery of ancillary services.  The second category is a monthly forward market for physical ancillary services” and “PG&amp;E’s advice letter references only participation in the monthly forward market for physical ancillary services.  PG&amp;E makes no request to engage in bilateral scheduling and delivery of ancillary services.”  (At p. 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R.94-04-031, I.94-04-032  </w:t>
    </w:r>
    <w:r>
      <w:rPr>
        <w:sz w:val="22"/>
      </w:rPr>
      <w:t>COM/HMD/max</w:t>
    </w:r>
    <w:r>
      <w:rPr>
        <w:b/>
        <w:sz w:val="28"/>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1"/>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sz w:val="26"/>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rFonts w:ascii="PALATINO;Book Antiqua" w:hAnsi="PALATINO;Book Antiqua" w:cs="PALATINO;Book Antiqua"/>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main">
    <w:name w:val="main"/>
    <w:basedOn w:val="Normal"/>
    <w:qFormat/>
    <w:pPr>
      <w:jc w:val="center"/>
    </w:pPr>
    <w:rPr>
      <w:rFonts w:ascii="HELVETICA" w:hAnsi="HELVETICA" w:cs="HELVETICA"/>
      <w:b/>
      <w:sz w:val="26"/>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rFonts w:ascii="PALATINO;Book Antiqua" w:hAnsi="PALATINO;Book Antiqua" w:cs="PALATINO;Book Antiqua"/>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
    <w:name w:val="letter"/>
    <w:basedOn w:val="num1"/>
    <w:qFormat/>
    <w:pPr>
      <w:numPr>
        <w:ilvl w:val="0"/>
        <w:numId w:val="7"/>
      </w:numPr>
      <w:spacing w:lineRule="auto" w:line="240" w:before="0" w:after="120"/>
      <w:ind w:hanging="274" w:start="99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35" w:leader="none"/>
        <w:tab w:val="right" w:pos="927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2000-08-03T22:52:00Z</dcterms:created>
  <dc:creator>Tim Sullivan</dc:creator>
  <dc:description/>
  <dc:language>en-CA</dc:language>
  <cp:lastModifiedBy>Bruno Gaillard</cp:lastModifiedBy>
  <cp:lastPrinted>2000-08-03T17:18:00Z</cp:lastPrinted>
  <dcterms:modified xsi:type="dcterms:W3CDTF">2000-08-03T22:52:00Z</dcterms:modified>
  <cp:revision>2</cp:revision>
  <dc:subject/>
  <dc:title>Decision DRAFT ALTERNATE OF COMMISSIONER DUQUE </dc:title>
</cp:coreProperties>
</file>