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4"/>
        </w:rPr>
      </w:pPr>
      <w:r>
        <w:rPr>
          <w:rFonts w:cs="Arial" w:ascii="Arial" w:hAnsi="Arial"/>
          <w:b/>
          <w:sz w:val="24"/>
        </w:rPr>
        <w:t>DRAFT</w:t>
      </w:r>
    </w:p>
    <w:p>
      <w:pPr>
        <w:pStyle w:val="Normal"/>
        <w:jc w:val="center"/>
        <w:rPr>
          <w:rFonts w:ascii="Arial" w:hAnsi="Arial" w:cs="Arial"/>
          <w:b/>
          <w:sz w:val="24"/>
        </w:rPr>
      </w:pPr>
      <w:r>
        <w:rPr>
          <w:rFonts w:cs="Arial" w:ascii="Arial" w:hAnsi="Arial"/>
          <w:b/>
          <w:sz w:val="24"/>
        </w:rPr>
        <w:br/>
        <w:t>Statement of Principles Governing</w:t>
      </w:r>
    </w:p>
    <w:p>
      <w:pPr>
        <w:pStyle w:val="Normal"/>
        <w:jc w:val="center"/>
        <w:rPr>
          <w:rFonts w:ascii="Arial" w:hAnsi="Arial" w:cs="Arial"/>
          <w:b/>
          <w:sz w:val="24"/>
        </w:rPr>
      </w:pPr>
      <w:r>
        <w:rPr>
          <w:rFonts w:cs="Arial" w:ascii="Arial" w:hAnsi="Arial"/>
          <w:b/>
          <w:sz w:val="24"/>
        </w:rPr>
      </w:r>
    </w:p>
    <w:p>
      <w:pPr>
        <w:pStyle w:val="Heading2"/>
        <w:ind w:hanging="0" w:start="0"/>
        <w:rPr>
          <w:sz w:val="24"/>
        </w:rPr>
      </w:pPr>
      <w:r>
        <w:rPr>
          <w:sz w:val="24"/>
        </w:rPr>
        <w:t>Environmentally Sound, Economically Efficient, Basis Electric Service</w:t>
      </w:r>
    </w:p>
    <w:p>
      <w:pPr>
        <w:pStyle w:val="Heading1"/>
        <w:ind w:hanging="0" w:start="0"/>
        <w:rPr>
          <w:sz w:val="22"/>
        </w:rPr>
      </w:pPr>
      <w:r>
        <w:rPr>
          <w:sz w:val="24"/>
        </w:rPr>
        <w:t>For Customers of an Electrical Corporation</w:t>
      </w:r>
    </w:p>
    <w:p>
      <w:pPr>
        <w:pStyle w:val="Normal"/>
        <w:rPr>
          <w:sz w:val="22"/>
        </w:rPr>
      </w:pPr>
      <w:r>
        <w:rPr>
          <w:sz w:val="22"/>
        </w:rPr>
      </w:r>
    </w:p>
    <w:p>
      <w:pPr>
        <w:pStyle w:val="Normal"/>
        <w:rPr/>
      </w:pPr>
      <w:r>
        <w:rPr/>
      </w:r>
    </w:p>
    <w:p>
      <w:pPr>
        <w:pStyle w:val="Heading2"/>
        <w:numPr>
          <w:ilvl w:val="0"/>
          <w:numId w:val="2"/>
        </w:numPr>
        <w:jc w:val="both"/>
        <w:rPr>
          <w:b w:val="false"/>
        </w:rPr>
      </w:pPr>
      <w:r>
        <w:rPr>
          <w:b w:val="false"/>
        </w:rPr>
        <w:t>Every customer of an electrical corporation shall continue to receive safe, reliable, economic basic electric service.  Basic electric service means the distribution of electric power, including metering, billing, and customer services.</w:t>
      </w:r>
    </w:p>
    <w:p>
      <w:pPr>
        <w:pStyle w:val="Normal"/>
        <w:jc w:val="both"/>
        <w:rPr>
          <w:b/>
          <w:sz w:val="22"/>
        </w:rPr>
      </w:pPr>
      <w:r>
        <w:rPr>
          <w:b/>
          <w:sz w:val="22"/>
        </w:rPr>
      </w:r>
    </w:p>
    <w:p>
      <w:pPr>
        <w:pStyle w:val="Normal"/>
        <w:numPr>
          <w:ilvl w:val="0"/>
          <w:numId w:val="2"/>
        </w:numPr>
        <w:jc w:val="both"/>
        <w:rPr>
          <w:rFonts w:ascii="Arial" w:hAnsi="Arial" w:cs="Arial"/>
          <w:sz w:val="22"/>
        </w:rPr>
      </w:pPr>
      <w:r>
        <w:rPr>
          <w:rFonts w:cs="Arial" w:ascii="Arial" w:hAnsi="Arial"/>
          <w:sz w:val="22"/>
        </w:rPr>
        <w:t>Every customer of an electrical corporation receiving basic electric service, who has not elected to purchase electric power through a direct transaction with another electric service provider, shall be offered the wholesale cost of electricity, with no mark-up purchased through the PX, or other source.</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Every customer of an electrical corporation shall pay a non-bypassable charge for basic electric service.  Every customer of an electrical corporation shall also pay a non-bypassable public goods charge.</w:t>
      </w:r>
    </w:p>
    <w:p>
      <w:pPr>
        <w:pStyle w:val="Normal"/>
        <w:jc w:val="both"/>
        <w:rPr>
          <w:rFonts w:ascii="Arial" w:hAnsi="Arial" w:cs="Arial"/>
          <w:sz w:val="22"/>
        </w:rPr>
      </w:pPr>
      <w:r>
        <w:rPr>
          <w:rFonts w:cs="Arial" w:ascii="Arial" w:hAnsi="Arial"/>
          <w:sz w:val="22"/>
        </w:rPr>
      </w:r>
    </w:p>
    <w:p>
      <w:pPr>
        <w:pStyle w:val="Heading2"/>
        <w:numPr>
          <w:ilvl w:val="0"/>
          <w:numId w:val="2"/>
        </w:numPr>
        <w:tabs>
          <w:tab w:val="left" w:pos="720" w:leader="none"/>
        </w:tabs>
        <w:ind w:hanging="360" w:start="720" w:end="0"/>
        <w:jc w:val="both"/>
        <w:rPr>
          <w:b w:val="false"/>
        </w:rPr>
      </w:pPr>
      <w:r>
        <w:rPr>
          <w:b w:val="false"/>
        </w:rPr>
        <w:t>The public goods charge shall fund energy efficiency, renewable energy, research and development, and low income energy efficiency services.  Funds made available for renewable energy shall be used to create a sustainable retail market for green power, shall optimize public investment in renewable resources, and may include, but not be limited to:</w:t>
      </w:r>
    </w:p>
    <w:p>
      <w:pPr>
        <w:pStyle w:val="Normal"/>
        <w:jc w:val="both"/>
        <w:rPr>
          <w:rFonts w:ascii="Arial" w:hAnsi="Arial" w:cs="Arial"/>
          <w:b/>
          <w:sz w:val="22"/>
        </w:rPr>
      </w:pPr>
      <w:r>
        <w:rPr>
          <w:rFonts w:cs="Arial" w:ascii="Arial" w:hAnsi="Arial"/>
          <w:b/>
          <w:sz w:val="22"/>
        </w:rPr>
      </w:r>
    </w:p>
    <w:p>
      <w:pPr>
        <w:pStyle w:val="Heading2"/>
        <w:numPr>
          <w:ilvl w:val="0"/>
          <w:numId w:val="2"/>
        </w:numPr>
        <w:tabs>
          <w:tab w:val="clear" w:pos="720"/>
          <w:tab w:val="left" w:pos="1080" w:leader="none"/>
        </w:tabs>
        <w:ind w:hanging="360" w:start="1080" w:end="0"/>
        <w:jc w:val="both"/>
        <w:rPr>
          <w:b w:val="false"/>
        </w:rPr>
      </w:pPr>
      <w:r>
        <w:rPr>
          <w:b w:val="false"/>
        </w:rPr>
        <w:t>Production credits for renewables not under contract with a utility (includes small scale renewable distributed generation).</w:t>
      </w:r>
    </w:p>
    <w:p>
      <w:pPr>
        <w:pStyle w:val="Heading2"/>
        <w:tabs>
          <w:tab w:val="left" w:pos="720" w:leader="none"/>
        </w:tabs>
        <w:ind w:hanging="0" w:start="0"/>
        <w:jc w:val="both"/>
        <w:rPr>
          <w:b w:val="false"/>
        </w:rPr>
      </w:pPr>
      <w:r>
        <w:rPr>
          <w:b w:val="false"/>
        </w:rPr>
      </w:r>
    </w:p>
    <w:p>
      <w:pPr>
        <w:pStyle w:val="Heading2"/>
        <w:numPr>
          <w:ilvl w:val="0"/>
          <w:numId w:val="2"/>
        </w:numPr>
        <w:tabs>
          <w:tab w:val="clear" w:pos="720"/>
          <w:tab w:val="left" w:pos="1080" w:leader="none"/>
        </w:tabs>
        <w:ind w:hanging="360" w:start="1080" w:end="0"/>
        <w:jc w:val="both"/>
        <w:rPr>
          <w:b w:val="false"/>
        </w:rPr>
      </w:pPr>
      <w:r>
        <w:rPr>
          <w:b w:val="false"/>
        </w:rPr>
        <w:t>Mandatory state purchase of renewable energy (% to be determined)</w:t>
      </w:r>
    </w:p>
    <w:p>
      <w:pPr>
        <w:pStyle w:val="Heading2"/>
        <w:tabs>
          <w:tab w:val="left" w:pos="720" w:leader="none"/>
        </w:tabs>
        <w:ind w:hanging="0" w:start="0"/>
        <w:jc w:val="both"/>
        <w:rPr>
          <w:b w:val="false"/>
        </w:rPr>
      </w:pPr>
      <w:r>
        <w:rPr>
          <w:b w:val="false"/>
        </w:rPr>
      </w:r>
    </w:p>
    <w:p>
      <w:pPr>
        <w:pStyle w:val="Heading2"/>
        <w:numPr>
          <w:ilvl w:val="0"/>
          <w:numId w:val="2"/>
        </w:numPr>
        <w:tabs>
          <w:tab w:val="clear" w:pos="720"/>
          <w:tab w:val="left" w:pos="1080" w:leader="none"/>
        </w:tabs>
        <w:ind w:hanging="360" w:start="1080" w:end="0"/>
        <w:jc w:val="both"/>
        <w:rPr>
          <w:b w:val="false"/>
        </w:rPr>
      </w:pPr>
      <w:r>
        <w:rPr>
          <w:b w:val="false"/>
        </w:rPr>
        <w:t>Minimum utility content of renewable energy (% to be determined, cap price paid at 110% of non-renewable purchases, per se reasonable).</w:t>
      </w:r>
    </w:p>
    <w:p>
      <w:pPr>
        <w:pStyle w:val="Heading2"/>
        <w:tabs>
          <w:tab w:val="left" w:pos="720" w:leader="none"/>
        </w:tabs>
        <w:ind w:hanging="0" w:start="0"/>
        <w:jc w:val="both"/>
        <w:rPr>
          <w:b w:val="false"/>
        </w:rPr>
      </w:pPr>
      <w:r>
        <w:rPr>
          <w:b w:val="false"/>
        </w:rPr>
      </w:r>
    </w:p>
    <w:p>
      <w:pPr>
        <w:pStyle w:val="Heading2"/>
        <w:numPr>
          <w:ilvl w:val="0"/>
          <w:numId w:val="2"/>
        </w:numPr>
        <w:tabs>
          <w:tab w:val="clear" w:pos="720"/>
          <w:tab w:val="left" w:pos="1080" w:leader="none"/>
        </w:tabs>
        <w:ind w:hanging="360" w:start="1080" w:end="0"/>
        <w:jc w:val="both"/>
        <w:rPr>
          <w:b w:val="false"/>
        </w:rPr>
      </w:pPr>
      <w:r>
        <w:rPr>
          <w:b w:val="false"/>
        </w:rPr>
        <w:t>PX Green Product (spot and forward markets)</w:t>
      </w:r>
    </w:p>
    <w:p>
      <w:pPr>
        <w:pStyle w:val="Heading2"/>
        <w:tabs>
          <w:tab w:val="left" w:pos="720" w:leader="none"/>
        </w:tabs>
        <w:ind w:hanging="0" w:start="0"/>
        <w:jc w:val="both"/>
        <w:rPr>
          <w:b w:val="false"/>
        </w:rPr>
      </w:pPr>
      <w:r>
        <w:rPr>
          <w:b w:val="false"/>
        </w:rPr>
      </w:r>
    </w:p>
    <w:p>
      <w:pPr>
        <w:pStyle w:val="Heading2"/>
        <w:numPr>
          <w:ilvl w:val="0"/>
          <w:numId w:val="2"/>
        </w:numPr>
        <w:tabs>
          <w:tab w:val="clear" w:pos="720"/>
          <w:tab w:val="left" w:pos="1080" w:leader="none"/>
        </w:tabs>
        <w:ind w:hanging="360" w:start="1080" w:end="0"/>
        <w:jc w:val="both"/>
        <w:rPr>
          <w:b w:val="false"/>
        </w:rPr>
      </w:pPr>
      <w:r>
        <w:rPr>
          <w:b w:val="false"/>
        </w:rPr>
        <w:t>Customer Credit for renewables not under contract with a utility</w:t>
      </w:r>
    </w:p>
    <w:p>
      <w:pPr>
        <w:pStyle w:val="Heading2"/>
        <w:ind w:hanging="0" w:start="0"/>
        <w:jc w:val="both"/>
        <w:rPr>
          <w:b w:val="false"/>
        </w:rPr>
      </w:pPr>
      <w:r>
        <w:rPr>
          <w:b w:val="false"/>
        </w:rPr>
      </w:r>
    </w:p>
    <w:p>
      <w:pPr>
        <w:pStyle w:val="Heading2"/>
        <w:numPr>
          <w:ilvl w:val="0"/>
          <w:numId w:val="2"/>
        </w:numPr>
        <w:jc w:val="both"/>
        <w:rPr>
          <w:b w:val="false"/>
        </w:rPr>
      </w:pPr>
      <w:r>
        <w:rPr>
          <w:b w:val="false"/>
        </w:rPr>
        <w:t>Every customer who has elected to purchase electric power through a direct transaction with an electric service provider may also elect to have that electric service provider supply metering and billing services.  Electric service providers shall receive a credit from the electrical corporation for metering and billing services in an amount sufficient to reflect the actual cost avoided by the electrical corporation for such services.</w:t>
      </w:r>
    </w:p>
    <w:p>
      <w:pPr>
        <w:pStyle w:val="Heading2"/>
        <w:ind w:hanging="0" w:start="360" w:end="0"/>
        <w:jc w:val="start"/>
        <w:rPr>
          <w:b w:val="false"/>
          <w:sz w:val="20"/>
        </w:rPr>
      </w:pPr>
      <w:r>
        <w:rPr>
          <w:b w:val="false"/>
          <w:sz w:val="20"/>
        </w:rPr>
      </w:r>
    </w:p>
    <w:p>
      <w:pPr>
        <w:pStyle w:val="Normal"/>
        <w:rPr>
          <w:rFonts w:ascii="Arial" w:hAnsi="Arial" w:cs="Arial"/>
          <w:b/>
          <w:sz w:val="20"/>
        </w:rPr>
      </w:pPr>
      <w:r>
        <w:rPr>
          <w:rFonts w:cs="Arial" w:ascii="Arial" w:hAnsi="Arial"/>
          <w:b/>
          <w:sz w:val="20"/>
        </w:rPr>
      </w:r>
    </w:p>
    <w:p>
      <w:pPr>
        <w:pStyle w:val="Heading3"/>
        <w:ind w:hanging="0" w:start="0"/>
        <w:rPr/>
      </w:pPr>
      <w:r>
        <w:rPr/>
        <w:t>February 9, 2000</w:t>
      </w:r>
    </w:p>
    <w:sectPr>
      <w:type w:val="nextPage"/>
      <w:pgSz w:w="12240" w:h="15840"/>
      <w:pgMar w:left="1800" w:right="180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rPr>
  </w:style>
  <w:style w:type="paragraph" w:styleId="Heading2">
    <w:name w:val="heading 2"/>
    <w:basedOn w:val="Normal"/>
    <w:next w:val="Normal"/>
    <w:qFormat/>
    <w:pPr>
      <w:keepNext w:val="true"/>
      <w:numPr>
        <w:ilvl w:val="1"/>
        <w:numId w:val="1"/>
      </w:numPr>
      <w:jc w:val="center"/>
      <w:outlineLvl w:val="1"/>
    </w:pPr>
    <w:rPr>
      <w:rFonts w:ascii="Arial" w:hAnsi="Arial" w:cs="Arial"/>
      <w:b/>
      <w:sz w:val="22"/>
    </w:rPr>
  </w:style>
  <w:style w:type="paragraph" w:styleId="Heading3">
    <w:name w:val="heading 3"/>
    <w:basedOn w:val="Normal"/>
    <w:next w:val="Normal"/>
    <w:qFormat/>
    <w:pPr>
      <w:keepNext w:val="true"/>
      <w:numPr>
        <w:ilvl w:val="2"/>
        <w:numId w:val="1"/>
      </w:numPr>
      <w:outlineLvl w:val="2"/>
    </w:pPr>
    <w:rPr>
      <w:sz w:val="24"/>
    </w:rPr>
  </w:style>
  <w:style w:type="character" w:styleId="WW8Num1z0">
    <w:name w:val="WW8Num1z0"/>
    <w:qFormat/>
    <w:rPr>
      <w:rFonts w:ascii="Wingdings" w:hAnsi="Wingdings" w:cs="Wingdings"/>
    </w:rPr>
  </w:style>
  <w:style w:type="character" w:styleId="WW8Num2z0">
    <w:name w:val="WW8Num2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2000-02-15T21:43:00Z</dcterms:created>
  <dc:creator>jalamo</dc:creator>
  <dc:description/>
  <dc:language>en-CA</dc:language>
  <cp:lastModifiedBy>jalamo</cp:lastModifiedBy>
  <cp:lastPrinted>2000-02-15T16:35:00Z</cp:lastPrinted>
  <dcterms:modified xsi:type="dcterms:W3CDTF">2000-02-15T22:05:00Z</dcterms:modified>
  <cp:revision>5</cp:revision>
  <dc:subject/>
  <dc:title/>
</cp:coreProperties>
</file>