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rPr>
                <w:b/>
              </w:rPr>
            </w:pPr>
            <w:r>
              <w:rPr>
                <w:b/>
              </w:rPr>
              <w:t>PROPOSAL</w:t>
            </w:r>
          </w:p>
        </w:tc>
        <w:tc>
          <w:tcPr>
            <w:tcW w:w="4788" w:type="dxa"/>
            <w:tcBorders>
              <w:top w:val="single" w:sz="4" w:space="0" w:color="000000"/>
              <w:start w:val="single" w:sz="4" w:space="0" w:color="000000"/>
              <w:bottom w:val="single" w:sz="4" w:space="0" w:color="000000"/>
              <w:end w:val="single" w:sz="4" w:space="0" w:color="000000"/>
            </w:tcBorders>
          </w:tcPr>
          <w:p>
            <w:pPr>
              <w:pStyle w:val="Normal"/>
              <w:rPr>
                <w:b/>
              </w:rPr>
            </w:pPr>
            <w:r>
              <w:rPr>
                <w:b/>
              </w:rPr>
              <w:t>ANALYSIS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Proposes plant be implemented on January 1, 2001, subject to refund based on hearings next year.</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Lacks any due process for customers and other market participants, relying on blind trust of SCE.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Proposes to End Rate Freeze on January 1, 2001 and calculate bills from the bottom-up versus top-down under the freeze.  SCE proposes to be the default provider, initially capping Standard Offer rates at 109.9% of frozen.  SCE would accrue under-collections to be mitigated or recovered at a later point in time.  SCE proposes a complex trigger mechanism to address their procurement rates over the next 5 years.   Customers taking Standard Offer who wish to switch to Direct Access will have to continue to pay for the under-collections incurred while under Standard Offer service.</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 xml:space="preserve">Obviously the issue is recovery of under-collections, and not necessarily a cash flow issue, because the 9.9% increase would only yield an additional $700 million in cash flows for 2001.  Also, SCE’s trigger mechanism and billing factor adjustment for procurement under-collections will not mitigate continual rate increases. </w:t>
            </w:r>
          </w:p>
          <w:p>
            <w:pPr>
              <w:pStyle w:val="Normal"/>
              <w:rPr/>
            </w:pPr>
            <w:r>
              <w:rPr/>
            </w:r>
          </w:p>
          <w:p>
            <w:pPr>
              <w:pStyle w:val="Normal"/>
              <w:rPr/>
            </w:pPr>
            <w:r>
              <w:rPr/>
              <w:t>Clearly, this proposal is another attempt to entrench SCE in the role as the default service provider, while thwarting any opportunity for competition, similar to their original cost recovery plan.  Customers and market participants should be provided the time and opportunity so that large customers and ESPs may enter into transactions, and default provider role may be bid out or determined for small customers.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Proposes that if the asset sale proposals are not approved by January 1, 2001, will utilize the energy generated from these facilities and SONGS to meet Standard Offer customers needs.</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Based on current market conditions and the net stranded benefits from these assets, Standard Offer service will be unfairly subsidized to the detriment of competition and Direct Access customers.  The stranded benefits should be used to reduce the CTC revenue requirement charged to all customers.  See comments below.</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 xml:space="preserve">Proposes a 2001 CTC Revenue Requirement of $731 million for QF and Inter-Utility Contracts.  </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This amount is too high, because of SCE’s proposal to use the stranded benefits to subsidize Standard Offer service versus reducing ongoing CTC.  See comment above.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Proposes recovery of net shortfall</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Guarantees SCE 100% recovery of CTCs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Proposes recovery of net shortfalls over 5 years</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Mitigates rate increase.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Proposes to Value SONGS based on $507 million book value on 12/31/2001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Mitigates rate increases.  Questionable whether this is a reasonable valuation provided that SONGS netted $322 million above their ICIP for the period between January 1 to September 30, 2001, with $376 million for the period between May 1 to September 30, 2001.  Under the SONGS Settlement, ratepayers only receive 50% of the net benefits for the period after December 31, 2003.</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Proposes to continue with the divestiture of Palo Verde, Mohave, and Four Corners</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 xml:space="preserve">In light of recent events, questionable combined sale price of $1.8 billion provided that those assets yielded net operating revenue of $577 million for the period between January 1 to September 30, 2001, with $585 million for the period between May 1 to September 30, 2001.  </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Suspiciously absent is the Hydro proposal to value at $1 billion, while earning a ROR on that amount and 10% of the benefit.  Assume that this assumption is implicit.</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Value to low resulting in windfalls to SCE.  Also, projected net benefits for 2001 to ratepayers is suspiciously missing.  Hydro net operating revenues were $406 million for the period between January 1 to September 30, 2001, with $364 million for the period between May 1, to September 30, 2001.</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 xml:space="preserve">Proposes to keep net generating operating revenue beginning September 1, 2000.  In September 2000, the net generating operating revenue was $157 million. </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Short changing ratepayers, creating windfalls for SCE’s shareholders.   In September 2000, the net generating operating revenue for fossil and hydro plants was $157 million.</w:t>
            </w:r>
          </w:p>
        </w:tc>
      </w:tr>
    </w:tbl>
    <w:p>
      <w:pPr>
        <w:pStyle w:val="Normal"/>
        <w:rPr/>
      </w:pPr>
      <w:r>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SCE’S APPLICATION TO END THE RATE FREEZE FILED ON NOVEMBER 16, 2000</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2000-11-17T13:24:00Z</dcterms:created>
  <dc:creator>ryang</dc:creator>
  <dc:description/>
  <dc:language>en-CA</dc:language>
  <cp:lastModifiedBy>ryang</cp:lastModifiedBy>
  <cp:lastPrinted>2000-11-17T11:25:00Z</cp:lastPrinted>
  <dcterms:modified xsi:type="dcterms:W3CDTF">2000-11-17T14:57:00Z</dcterms:modified>
  <cp:revision>4</cp:revision>
  <dc:subject/>
  <dc:title>Proposes plant be implemented on January 1, 2001, subject to refund based on hearings next year</dc:title>
</cp:coreProperties>
</file>