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left" w:pos="1080" w:leader="none"/>
          <w:tab w:val="left" w:pos="1440" w:leader="none"/>
        </w:tabs>
        <w:jc w:val="both"/>
        <w:rPr>
          <w:spacing w:val="-3"/>
        </w:rPr>
      </w:pPr>
      <w:r>
        <w:rPr>
          <w:spacing w:val="-3"/>
        </w:rPr>
        <w:t>2.</w:t>
        <w:tab/>
        <w:t>DATA SERVICES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jc w:val="both"/>
        <w:rPr>
          <w:spacing w:val="-3"/>
        </w:rPr>
      </w:pPr>
      <w:r>
        <w:rPr>
          <w:spacing w:val="-3"/>
        </w:rPr>
        <w:t>2.1</w:t>
        <w:tab/>
        <w:t>Definitions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2.1.1</w:t>
        <w:tab/>
        <w:t>All capitalized terms not otherwise defined in this Schedule A shall have the meanings as set forth in the Agreement.</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2.1.2</w:t>
        <w:tab/>
        <w:t>“LAN” shall have the meaning set forth in Section 2.3.1.</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2.1.3</w:t>
        <w:tab/>
        <w:t>“Managed Device” shall mean any hardware or software (or combination thereof) that is managed by MCI utilizing Simple Network Management Protocol (“SNMP”).</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2.1.4</w:t>
        <w:tab/>
        <w:t>“Network” shall have the meaning set forth in Section 2.2.1.</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2.1.5</w:t>
        <w:tab/>
        <w:t>“Network Operations Center” shall have the meaning set forth in Section 2.5.2 below.</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2.2</w:t>
        <w:tab/>
        <w:t>Wide Area Network Services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2.2.1</w:t>
        <w:tab/>
        <w:t>The Network.  MCI’s proposed Network design solution has built-in redundancy, scalability, flexibility and security and will conform to the standards set forth in this Agreement.  The current Network design is hierarchical using Access-POP (A-POP), Backbone-POP (B-POP) and MCI’s ATM Service, with the capability to interwork with the access methodologies set forth in Section 2.4 below.  As part of the hierarchical Network architecture, a total of eleven (11) A-POPs and four (4) B-POPs will be implemented at locations listed below by MCI in the State of California and will initially provide capacity for a minimum of two thousand (2,000) Connected Entities.  The Network is fully meshed and fully redundant utilizing diverse paths for interconnec</w:t>
        <w:softHyphen/>
        <w:t>tion.  The Network will accommodate an average bandwidth of 128Kbps per CE to ISO or PX and an average of 128Kbps from ISO or PX to CE.  The Network will accommo</w:t>
        <w:softHyphen/>
        <w:t>date Area Control Center (“ACC”) and Los Angeles Department of Water and Power (“LADWP”) bandwidth requirements and ISO to PX bandwidth requirements as stated in Section 2.4.</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A-POP locations:  San Jose;  Santa Ana;  San Diego (2);  San Francisco;  Los Angeles;  and Sherman Oaks.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B-POP locations:  Hayward;  Sacramento;  Rialto;  and Dominiguez Hills.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Each A-POP will have one (1) Dial-Up Access Server (or more in MCI’s discretion) and six (6) Cisco 7513 routers: two (2) designated as Autonomous System Border Routers, three (3) designated as Area Border Routers and one (1) designated as Back-Up Router.  These six (6) routers are connected together using a dual fast Switched Ethernet topology.  Of the eleven (11) A-POPs, four (4) will have an additional Cisco 7513 router designated as a B-POP.  Each B-POP will be connected to its A-POP via redundant paths.  Each B-POP will be connected to the ATM transport service via redundant paths to form the core fully meshed backbone architecture.  The ISO, PX, ACCs and CEs will connect to the Network through 11 A-POPs that will be deployed at MCI’s existing point-of-presence facilities within the State of California.  MCI will install connections to every LEC Tandem ISDN-capable Switch in the State of California (approxi</w:t>
        <w:softHyphen/>
        <w:t>mate</w:t>
        <w:softHyphen/>
        <w:t>ly thirty-eight (38)) to insure that there is no oversubscription between Tandem Switches and the MCI A-POP.</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The Network will provide capability for Connected Entity connectivity such that Connected Entity-to-Connected Entity communication shall be capable within the Bandwidth Assumption, as defined in Section 2.4(c) of the Agreement.</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2.2.2</w:t>
        <w:tab/>
        <w:t>Redundancy and Diversity.  Redundancy is defined as dual Network components.  Diversity is defined as two physically different paths into the Network.</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The primary connections will carry all the traffic to and from the primary ISO or PX.  In the event that any primary connections within the Network or Managed Device within A-POP or B-POP fail, the redundant connec</w:t>
        <w:softHyphen/>
        <w:t>tions or systems will carry all the traffic to and from the ISO or PX.  In the event that an entire A-POP fails, a Connected Entity may dial-up into an alternate A-POP(s) for access into the Network.  Each A-POP will be sized to have sufficient capacity to provide fallback for any other single A-POP.  In the event that an entire B-POP fails, the redundant path from the A-POP to an alternate B-POP will carry all the traffic to and from the ISO or PX.  In the event that primary ISO or PX fails, traffic will be rerouted per the Disaster Recovery Plan.</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Each level of the hierarchical Network design provides the redundant and diverse access or back-up capability that is appropriate and required for ISO, PX and ACC locations.  ISO, PX and ACC locations will have automatic back-up for both communica</w:t>
        <w:softHyphen/>
        <w:t>tions hardware and connectivity.  Connected Entity locations will have dial-up back-up capability and availability which can be ordered at the option of the CE.  All ISO, PX and ACC locations will have multiple diverse connections for connection to the Network.  MCI has designed redundancy with a view to providing fail-safe operation at every level of the tiered Network topology.</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2.2.3</w:t>
        <w:tab/>
        <w:t>Network Scalability.  The hierarchical architecture designed for the Network will facilitate an augmentation strategy and support the scalability of the Network.  This will allow the Network to accommodate growth in the number of Connected Entities.  Bandwidth across the Network will be capable of being increased to match new levels and distributions of traffic maintaining the Service Levels set forth in Schedule J..   The Network will be augmented from time to time to provide sufficient port capacity to support  a ten (10) percent growth in the number of Connected Entities from the then current number of Connected Entities; provided, however, that MCI shall not be required to provide additional port capacity at any point in time for more than five hundred (500) Connected Entities.  Network size and growth will be based upon an average bandwidth of 128 Kbps per Connected Entity.</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2.2.4</w:t>
        <w:tab/>
        <w:t>Network Migration.  MCI will work with the Customer to plan and execute system upgrades or Network migrations.  MCI will be responsible for creating and maintaining a test Network with the ability to model the behavior of the production Network.  The test Network will be maintained at an MCI site, utilize the primary and backup Network Operations Center and management platform, and will be representative of the Network design.</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2.2.5</w:t>
        <w:tab/>
        <w:t>Hardware.  MCI will use the following hardware (or the equivalent) to create the  Network:</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B-POP:</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Cisco 7513 (ASBR)</w:t>
      </w:r>
    </w:p>
    <w:p>
      <w:pPr>
        <w:pStyle w:val="Normal"/>
        <w:tabs>
          <w:tab w:val="clear" w:pos="720"/>
          <w:tab w:val="left" w:pos="0" w:leader="none"/>
          <w:tab w:val="left" w:pos="1080" w:leader="none"/>
          <w:tab w:val="left" w:pos="1440" w:leader="none"/>
        </w:tabs>
        <w:ind w:hanging="2160" w:start="2160" w:end="0"/>
        <w:jc w:val="both"/>
        <w:rPr>
          <w:spacing w:val="-3"/>
        </w:rPr>
      </w:pPr>
      <w:r>
        <w:rPr>
          <w:spacing w:val="-3"/>
        </w:rPr>
        <w:tab/>
        <w:tab/>
        <w:tab/>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A-POP:</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Cisco 7513 (ASBR-1)</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Cisco 7513 (ASBR-2)</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Cisco 7513 (ABR-3)</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Cisco 7513 (ABR-4)</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Cisco 7513 (ABR-5)</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Cisco 7513 (BUR)</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Cisco AS5201 (DialUp Server)</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Catalyst 5000 (Ethernet Switch)</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Sun (Radius Server)</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CSU/DSUs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2.3</w:t>
        <w:tab/>
        <w:t>Local Area Network Services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2.3.1</w:t>
        <w:tab/>
        <w:t>The Local Area Networks, (ISONet, WENet, REMNet, collectively referred to asthe “LANs”).  MCI will provide the primary and secondary ISO and PX locations (four (4) sites total, the “Customer Locations”) with LANs, which is a communications backbone, including wiring, hubs, switches, routers, connectors and terminators.  The LANs do not include network operating systems, work group applications or work group hardware, desktop devices, network interface cards or business applica</w:t>
        <w:softHyphen/>
        <w:t>tions.  The LANs will allow for the business systems, office automation, shared services systems and the core operational systems to be intercon</w:t>
        <w:softHyphen/>
        <w:t>nected.  The LANs will support the SPX/IPX protocol stack as well as TCP/IP, although only TCP/IP will be transmitted across to the Network.</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MCI will provide the initial communications infrastructure at each Customer Location so as to connect Customer application servers and terminals to the Network terminating equipment.  MCI will provide three (3) major LANs subsegments that vary in redundancy, security and relative criticality.  The actual design of the subsystem vendor application platforms may necessitate a Change Order that will modify the LANs design to incorporate unknown requirements.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2.3.2</w:t>
        <w:tab/>
        <w:t>Redundancy.  MCI will design the LANs architecture to support varying levels of redundancy based on application criticality.</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2.3.3</w:t>
        <w:tab/>
        <w:t>Hardware.  MCI will provide the routers, switches, hubs and other hardware specified in MCI’s design of the proposed LANs architecture at the Customer Locations.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2.4</w:t>
        <w:tab/>
        <w:t>Access Services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2.4.1</w:t>
        <w:tab/>
        <w:t>Secondary ISO Connectivity to the Network.  MCI will provide the secondary ISO with the same network connectivity as the primary ISO such that the secondary ISO will be capable of serving as the primary service provider in the case of an emergency.</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2.4.2</w:t>
        <w:tab/>
        <w:t>Area Control Center (“ACC”) Connectivity to the Network.  The ACCs have existing systems that control utilities’ (PG&amp;E, SCE, SDG&amp;E or LADWP) power generation and transmission infrastructure.  The ACCs shall use TCP/IP to communicate over the Network.  Each ACC will have diverse and redundant connections to the Network.  Table 1  below defines specifically the quantity and the bandwidth.</w:t>
      </w:r>
    </w:p>
    <w:p>
      <w:pPr>
        <w:pStyle w:val="Normal"/>
        <w:tabs>
          <w:tab w:val="clear" w:pos="720"/>
          <w:tab w:val="left" w:pos="0" w:leader="none"/>
          <w:tab w:val="left" w:pos="1080" w:leader="none"/>
          <w:tab w:val="left" w:pos="1440" w:leader="none"/>
        </w:tabs>
        <w:jc w:val="both"/>
        <w:rPr>
          <w:spacing w:val="-3"/>
        </w:rPr>
      </w:pPr>
      <w:r>
        <w:rPr>
          <w:spacing w:val="-3"/>
        </w:rPr>
      </w:r>
    </w:p>
    <w:tbl>
      <w:tblPr>
        <w:tblW w:w="8640" w:type="dxa"/>
        <w:jc w:val="start"/>
        <w:tblInd w:w="1098" w:type="dxa"/>
        <w:tblLayout w:type="fixed"/>
        <w:tblCellMar>
          <w:top w:w="0" w:type="dxa"/>
          <w:start w:w="108" w:type="dxa"/>
          <w:bottom w:w="0" w:type="dxa"/>
          <w:end w:w="108" w:type="dxa"/>
        </w:tblCellMar>
      </w:tblPr>
      <w:tblGrid>
        <w:gridCol w:w="2160"/>
        <w:gridCol w:w="2160"/>
        <w:gridCol w:w="2160"/>
        <w:gridCol w:w="2160"/>
      </w:tblGrid>
      <w:tr>
        <w:trPr/>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ISO location</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ACC location</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Quantity</w:t>
            </w:r>
          </w:p>
        </w:tc>
        <w:tc>
          <w:tcPr>
            <w:tcW w:w="2160" w:type="dxa"/>
            <w:tcBorders>
              <w:top w:val="single" w:sz="6" w:space="0" w:color="000000"/>
              <w:start w:val="single" w:sz="6" w:space="0" w:color="000000"/>
              <w:end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Capacity</w:t>
            </w:r>
          </w:p>
        </w:tc>
      </w:tr>
      <w:tr>
        <w:trPr/>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ISO primary</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PG&amp;E</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w:t>
            </w:r>
          </w:p>
        </w:tc>
        <w:tc>
          <w:tcPr>
            <w:tcW w:w="2160" w:type="dxa"/>
            <w:tcBorders>
              <w:top w:val="single" w:sz="6" w:space="0" w:color="000000"/>
              <w:start w:val="single" w:sz="6" w:space="0" w:color="000000"/>
              <w:end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45 Mbps</w:t>
            </w:r>
          </w:p>
        </w:tc>
      </w:tr>
      <w:tr>
        <w:trPr/>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ISO primary</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SCE</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w:t>
            </w:r>
          </w:p>
        </w:tc>
        <w:tc>
          <w:tcPr>
            <w:tcW w:w="2160" w:type="dxa"/>
            <w:tcBorders>
              <w:top w:val="single" w:sz="6" w:space="0" w:color="000000"/>
              <w:start w:val="single" w:sz="6" w:space="0" w:color="000000"/>
              <w:end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45 Mbps</w:t>
            </w:r>
          </w:p>
        </w:tc>
      </w:tr>
      <w:tr>
        <w:trPr/>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ISO primary</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SDG&amp;E</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w:t>
            </w:r>
          </w:p>
        </w:tc>
        <w:tc>
          <w:tcPr>
            <w:tcW w:w="2160" w:type="dxa"/>
            <w:tcBorders>
              <w:top w:val="single" w:sz="6" w:space="0" w:color="000000"/>
              <w:start w:val="single" w:sz="6" w:space="0" w:color="000000"/>
              <w:end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45 Mbps</w:t>
            </w:r>
          </w:p>
        </w:tc>
      </w:tr>
      <w:tr>
        <w:trPr/>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ISO primary</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LADWP</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w:t>
            </w:r>
          </w:p>
        </w:tc>
        <w:tc>
          <w:tcPr>
            <w:tcW w:w="2160" w:type="dxa"/>
            <w:tcBorders>
              <w:top w:val="single" w:sz="6" w:space="0" w:color="000000"/>
              <w:start w:val="single" w:sz="6" w:space="0" w:color="000000"/>
              <w:end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1.54 Mbps</w:t>
            </w:r>
          </w:p>
        </w:tc>
      </w:tr>
      <w:tr>
        <w:trPr/>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ISO secondary</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 xml:space="preserve">PG&amp;E </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w:t>
            </w:r>
          </w:p>
        </w:tc>
        <w:tc>
          <w:tcPr>
            <w:tcW w:w="2160" w:type="dxa"/>
            <w:tcBorders>
              <w:top w:val="single" w:sz="6" w:space="0" w:color="000000"/>
              <w:start w:val="single" w:sz="6" w:space="0" w:color="000000"/>
              <w:end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45 Mbps</w:t>
            </w:r>
          </w:p>
        </w:tc>
      </w:tr>
      <w:tr>
        <w:trPr/>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ISO secondary</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SCE</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w:t>
            </w:r>
          </w:p>
        </w:tc>
        <w:tc>
          <w:tcPr>
            <w:tcW w:w="2160" w:type="dxa"/>
            <w:tcBorders>
              <w:top w:val="single" w:sz="6" w:space="0" w:color="000000"/>
              <w:start w:val="single" w:sz="6" w:space="0" w:color="000000"/>
              <w:end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45 Mbps</w:t>
            </w:r>
          </w:p>
        </w:tc>
      </w:tr>
      <w:tr>
        <w:trPr/>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ISO secondary</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SDG&amp;E</w:t>
            </w:r>
          </w:p>
        </w:tc>
        <w:tc>
          <w:tcPr>
            <w:tcW w:w="2160" w:type="dxa"/>
            <w:tcBorders>
              <w:top w:val="single" w:sz="6" w:space="0" w:color="000000"/>
              <w:start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w:t>
            </w:r>
          </w:p>
        </w:tc>
        <w:tc>
          <w:tcPr>
            <w:tcW w:w="2160" w:type="dxa"/>
            <w:tcBorders>
              <w:top w:val="single" w:sz="6" w:space="0" w:color="000000"/>
              <w:start w:val="single" w:sz="6" w:space="0" w:color="000000"/>
              <w:end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45 Mbps</w:t>
            </w:r>
          </w:p>
        </w:tc>
      </w:tr>
      <w:tr>
        <w:trPr/>
        <w:tc>
          <w:tcPr>
            <w:tcW w:w="2160" w:type="dxa"/>
            <w:tcBorders>
              <w:top w:val="single" w:sz="6" w:space="0" w:color="000000"/>
              <w:start w:val="single" w:sz="6" w:space="0" w:color="000000"/>
              <w:bottom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ISO secondary</w:t>
            </w:r>
          </w:p>
        </w:tc>
        <w:tc>
          <w:tcPr>
            <w:tcW w:w="2160" w:type="dxa"/>
            <w:tcBorders>
              <w:top w:val="single" w:sz="6" w:space="0" w:color="000000"/>
              <w:start w:val="single" w:sz="6" w:space="0" w:color="000000"/>
              <w:bottom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LADWP</w:t>
            </w:r>
          </w:p>
        </w:tc>
        <w:tc>
          <w:tcPr>
            <w:tcW w:w="2160" w:type="dxa"/>
            <w:tcBorders>
              <w:top w:val="single" w:sz="6" w:space="0" w:color="000000"/>
              <w:start w:val="single" w:sz="6" w:space="0" w:color="000000"/>
              <w:bottom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w:t>
            </w:r>
          </w:p>
        </w:tc>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0" w:leader="none"/>
                <w:tab w:val="left" w:pos="1080" w:leader="none"/>
                <w:tab w:val="left" w:pos="1440" w:leader="none"/>
              </w:tabs>
              <w:jc w:val="both"/>
              <w:rPr>
                <w:spacing w:val="-3"/>
              </w:rPr>
            </w:pPr>
            <w:r>
              <w:rPr>
                <w:spacing w:val="-3"/>
              </w:rPr>
              <w:t>1.54 Mbps</w:t>
            </w:r>
          </w:p>
        </w:tc>
      </w:tr>
    </w:tbl>
    <w:p>
      <w:pPr>
        <w:pStyle w:val="Normal"/>
        <w:tabs>
          <w:tab w:val="clear" w:pos="720"/>
          <w:tab w:val="left" w:pos="0" w:leader="none"/>
          <w:tab w:val="left" w:pos="1080" w:leader="none"/>
          <w:tab w:val="left" w:pos="1440" w:leader="none"/>
        </w:tabs>
        <w:jc w:val="both"/>
        <w:rPr>
          <w:spacing w:val="-3"/>
        </w:rPr>
      </w:pPr>
      <w:r>
        <w:rPr>
          <w:spacing w:val="-3"/>
        </w:rPr>
        <w:tab/>
        <w:t>Table 1: ISO To Area Control Center Connectivity Requirements</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2.4.3</w:t>
        <w:tab/>
        <w:t>Connected Entity Connectivity to the Network.  MCI will support the following connection types into any A-POP of the Network:</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2.4.3.1</w:t>
        <w:tab/>
        <w:t>Primary Access Methods.  A primary access method is the access method used by the CE under normal conditions.  The supported primary access methods include the follow</w:t>
        <w:softHyphen/>
        <w:t>ing:</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tab/>
        <w:t>Analog dial-up using PSTN</w:t>
      </w:r>
    </w:p>
    <w:p>
      <w:pPr>
        <w:pStyle w:val="Normal"/>
        <w:tabs>
          <w:tab w:val="clear" w:pos="720"/>
          <w:tab w:val="left" w:pos="0" w:leader="none"/>
          <w:tab w:val="left" w:pos="1080" w:leader="none"/>
          <w:tab w:val="left" w:pos="1440" w:leader="none"/>
        </w:tabs>
        <w:ind w:hanging="1440" w:start="1440" w:end="0"/>
        <w:jc w:val="both"/>
        <w:rPr>
          <w:spacing w:val="-3"/>
        </w:rPr>
      </w:pPr>
      <w:r>
        <w:rPr>
          <w:spacing w:val="-3"/>
        </w:rPr>
        <w:tab/>
        <w:tab/>
        <w:t>Voice Grade Private Line</w:t>
      </w:r>
    </w:p>
    <w:p>
      <w:pPr>
        <w:pStyle w:val="Normal"/>
        <w:keepNext w:val="true"/>
        <w:keepLines/>
        <w:tabs>
          <w:tab w:val="clear" w:pos="720"/>
          <w:tab w:val="left" w:pos="0" w:leader="none"/>
          <w:tab w:val="left" w:pos="1080" w:leader="none"/>
          <w:tab w:val="left" w:pos="1440" w:leader="none"/>
        </w:tabs>
        <w:ind w:hanging="1440" w:start="1440" w:end="0"/>
        <w:jc w:val="both"/>
        <w:rPr>
          <w:spacing w:val="-3"/>
        </w:rPr>
      </w:pPr>
      <w:r>
        <w:rPr>
          <w:spacing w:val="-3"/>
        </w:rPr>
        <w:tab/>
        <w:tab/>
        <w:t>ISDN</w:t>
      </w:r>
    </w:p>
    <w:p>
      <w:pPr>
        <w:pStyle w:val="Normal"/>
        <w:keepNext w:val="true"/>
        <w:keepLines/>
        <w:tabs>
          <w:tab w:val="clear" w:pos="720"/>
          <w:tab w:val="left" w:pos="0" w:leader="none"/>
          <w:tab w:val="left" w:pos="1080" w:leader="none"/>
          <w:tab w:val="left" w:pos="1440" w:leader="none"/>
        </w:tabs>
        <w:ind w:hanging="1440" w:start="1440" w:end="0"/>
        <w:jc w:val="both"/>
        <w:rPr>
          <w:spacing w:val="-3"/>
        </w:rPr>
      </w:pPr>
      <w:r>
        <w:rPr>
          <w:spacing w:val="-3"/>
        </w:rPr>
        <w:tab/>
        <w:tab/>
        <w:t>Frame Relay</w:t>
      </w:r>
    </w:p>
    <w:p>
      <w:pPr>
        <w:pStyle w:val="Normal"/>
        <w:keepNext w:val="true"/>
        <w:keepLines/>
        <w:tabs>
          <w:tab w:val="clear" w:pos="720"/>
          <w:tab w:val="left" w:pos="0" w:leader="none"/>
          <w:tab w:val="left" w:pos="1080" w:leader="none"/>
          <w:tab w:val="left" w:pos="1440" w:leader="none"/>
        </w:tabs>
        <w:ind w:hanging="1440" w:start="1440" w:end="0"/>
        <w:jc w:val="both"/>
        <w:rPr>
          <w:spacing w:val="-3"/>
        </w:rPr>
      </w:pPr>
      <w:r>
        <w:rPr>
          <w:spacing w:val="-3"/>
        </w:rPr>
        <w:tab/>
        <w:tab/>
        <w:t>Leased Line</w:t>
      </w:r>
    </w:p>
    <w:p>
      <w:pPr>
        <w:pStyle w:val="Normal"/>
        <w:keepLines/>
        <w:tabs>
          <w:tab w:val="clear" w:pos="720"/>
          <w:tab w:val="left" w:pos="0" w:leader="none"/>
          <w:tab w:val="left" w:pos="1080" w:leader="none"/>
          <w:tab w:val="left" w:pos="1440" w:leader="none"/>
        </w:tabs>
        <w:ind w:hanging="1440" w:start="1440" w:end="0"/>
        <w:jc w:val="both"/>
        <w:rPr>
          <w:spacing w:val="-3"/>
        </w:rPr>
      </w:pPr>
      <w:r>
        <w:rPr>
          <w:spacing w:val="-3"/>
        </w:rPr>
        <w:tab/>
        <w:tab/>
        <w:t>ATM</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2.4.3.2</w:t>
        <w:tab/>
        <w:t>Secondary Access Methods.  A secondary access method is the access method used by a Connected Entity for backup connectivity to the Network in the event the primary access method is not available.  This backup connectivity can also be achieved by using multiple primary access methods.  The supported secondary access methods include Dial-up, ISDN and Switched Service using PSTN.</w:t>
      </w:r>
    </w:p>
    <w:p>
      <w:pPr>
        <w:pStyle w:val="Normal"/>
        <w:tabs>
          <w:tab w:val="clear" w:pos="720"/>
          <w:tab w:val="left" w:pos="0" w:leader="none"/>
          <w:tab w:val="left" w:pos="1080" w:leader="none"/>
          <w:tab w:val="left" w:pos="1440" w:leader="none"/>
        </w:tabs>
        <w:jc w:val="both"/>
        <w:rPr>
          <w:spacing w:val="-3"/>
        </w:rPr>
      </w:pPr>
      <w:r>
        <w:rPr>
          <w:spacing w:val="-3"/>
        </w:rPr>
      </w:r>
    </w:p>
    <w:p>
      <w:pPr>
        <w:pStyle w:val="Normal"/>
        <w:tabs>
          <w:tab w:val="clear" w:pos="720"/>
          <w:tab w:val="left" w:pos="0" w:leader="none"/>
          <w:tab w:val="left" w:pos="1080" w:leader="none"/>
          <w:tab w:val="left" w:pos="1440" w:leader="none"/>
        </w:tabs>
        <w:ind w:hanging="1080" w:start="1080" w:end="0"/>
        <w:jc w:val="both"/>
        <w:rPr>
          <w:spacing w:val="-3"/>
        </w:rPr>
      </w:pPr>
      <w:r>
        <w:rPr>
          <w:spacing w:val="-3"/>
        </w:rPr>
        <w:t>2.4.3.3</w:t>
        <w:tab/>
        <w:t>Internet Access.  MCI will provide Internet connectivity with commercial</w:t>
        <w:softHyphen/>
        <w:t>ly available firewall capability to provide that the user interacts only with specific, known servers and ports.  Connected Entities that connect to the Network (a single A-POP) via the Internet may not experience the same reliability, security or quality of service as Connected Entities that connect directly to a Network A-POP via the access methods set forth in Section 2.4.3.1 above.  MCI will provide T1 ports into the internet for the ISO and PX locations.</w:t>
      </w:r>
    </w:p>
    <w:p>
      <w:pPr>
        <w:pStyle w:val="Normal"/>
        <w:tabs>
          <w:tab w:val="clear" w:pos="720"/>
          <w:tab w:val="left" w:pos="0" w:leader="none"/>
          <w:tab w:val="left" w:pos="1080" w:leader="none"/>
          <w:tab w:val="left" w:pos="1440" w:leader="none"/>
        </w:tabs>
        <w:ind w:hanging="1080" w:start="1080" w:end="0"/>
        <w:jc w:val="both"/>
        <w:rPr>
          <w:spacing w:val="-3"/>
        </w:rPr>
      </w:pPr>
      <w:r>
        <w:rPr>
          <w:spacing w:val="-3"/>
        </w:rPr>
        <w:tab/>
      </w:r>
    </w:p>
    <w:sectPr>
      <w:headerReference w:type="default" r:id="rId2"/>
      <w:footerReference w:type="default" r:id="rId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tabs>
        <w:tab w:val="clear" w:pos="720"/>
        <w:tab w:val="center" w:pos="4680" w:leader="none"/>
      </w:tabs>
      <w:jc w:val="both"/>
      <w:rPr/>
    </w:pPr>
    <w:r>
      <w:rPr>
        <w:spacing w:val="-2"/>
        <w:sz w:val="20"/>
      </w:rPr>
      <w:tab/>
      <w:t>A (ISO) -</w:t>
    </w:r>
    <w:r>
      <w:rPr>
        <w:spacing w:val="-2"/>
        <w:sz w:val="20"/>
      </w:rPr>
      <w:fldChar w:fldCharType="begin"/>
    </w:r>
    <w:r>
      <w:rPr>
        <w:sz w:val="20"/>
        <w:spacing w:val="-2"/>
      </w:rPr>
      <w:instrText xml:space="preserve"> PAGE \* ARABIC </w:instrText>
    </w:r>
    <w:r>
      <w:rPr>
        <w:sz w:val="20"/>
        <w:spacing w:val="-2"/>
      </w:rPr>
      <w:fldChar w:fldCharType="separate"/>
    </w:r>
    <w:r>
      <w:rPr>
        <w:sz w:val="20"/>
        <w:spacing w:val="-2"/>
      </w:rPr>
      <w:t>5</w:t>
    </w:r>
    <w:r>
      <w:rPr>
        <w:sz w:val="20"/>
        <w:spacing w:val="-2"/>
      </w:rPr>
      <w:fldChar w:fldCharType="end"/>
    </w:r>
    <w:r>
      <mc:AlternateContent>
        <mc:Choice Requires="wps">
          <w:drawing>
            <wp:anchor behindDoc="1" distT="0" distB="0" distL="114935" distR="114935" simplePos="0" locked="0" layoutInCell="0" allowOverlap="1" relativeHeight="6">
              <wp:simplePos x="0" y="0"/>
              <wp:positionH relativeFrom="page">
                <wp:posOffset>914400</wp:posOffset>
              </wp:positionH>
              <wp:positionV relativeFrom="paragraph">
                <wp:posOffset>152400</wp:posOffset>
              </wp:positionV>
              <wp:extent cx="5943600" cy="116205"/>
              <wp:effectExtent l="0" t="0" r="0" b="0"/>
              <wp:wrapNone/>
              <wp:docPr id="2" name="Frame2"/>
              <a:graphic xmlns:a="http://schemas.openxmlformats.org/drawingml/2006/main">
                <a:graphicData uri="http://schemas.microsoft.com/office/word/2010/wordprocessingShape">
                  <wps:wsp>
                    <wps:cNvSpPr txBox="1"/>
                    <wps:spPr>
                      <a:xfrm>
                        <a:off x="0" y="0"/>
                        <a:ext cx="5943600" cy="116205"/>
                      </a:xfrm>
                      <a:prstGeom prst="rect"/>
                      <a:solidFill>
                        <a:srgbClr val="FFFFFF">
                          <a:alpha val="0"/>
                        </a:srgbClr>
                      </a:solidFill>
                    </wps:spPr>
                    <wps:txbx>
                      <w:txbxContent>
                        <w:p>
                          <w:pPr>
                            <w:pStyle w:val="Normal"/>
                            <w:tabs>
                              <w:tab w:val="clear" w:pos="720"/>
                              <w:tab w:val="left" w:pos="-720" w:leader="none"/>
                            </w:tabs>
                            <w:ind w:start="720" w:end="0"/>
                            <w:jc w:val="both"/>
                            <w:rPr>
                              <w:spacing w:val="-1"/>
                              <w:sz w:val="14"/>
                            </w:rPr>
                          </w:pPr>
                          <w:r>
                            <w:rPr>
                              <w:spacing w:val="-1"/>
                              <w:sz w:val="14"/>
                            </w:rPr>
                            <w:t>0092272.02-10S2a</w:t>
                          </w:r>
                        </w:p>
                      </w:txbxContent>
                    </wps:txbx>
                    <wps:bodyPr anchor="t" lIns="635" tIns="635" rIns="635" bIns="635">
                      <a:noAutofit/>
                    </wps:bodyPr>
                  </wps:wsp>
                </a:graphicData>
              </a:graphic>
            </wp:anchor>
          </w:drawing>
        </mc:Choice>
        <mc:Fallback>
          <w:pict>
            <v:rect fillcolor="#FFFFFF" style="position:absolute;rotation:-0;width:468pt;height:9.15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left" w:pos="-720" w:leader="none"/>
                      </w:tabs>
                      <w:ind w:start="720" w:end="0"/>
                      <w:jc w:val="both"/>
                      <w:rPr>
                        <w:spacing w:val="-1"/>
                        <w:sz w:val="14"/>
                      </w:rPr>
                    </w:pPr>
                    <w:r>
                      <w:rPr>
                        <w:spacing w:val="-1"/>
                        <w:sz w:val="14"/>
                      </w:rPr>
                      <w:t>0092272.02-10S2a</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0" w:leader="none"/>
        <w:tab w:val="left" w:pos="720" w:leader="none"/>
        <w:tab w:val="left" w:pos="1440" w:leader="none"/>
        <w:tab w:val="left" w:pos="2160" w:leader="none"/>
        <w:tab w:val="left" w:pos="3060" w:leader="none"/>
        <w:tab w:val="left" w:pos="4140" w:leader="none"/>
        <w:tab w:val="left" w:pos="5040" w:leader="none"/>
      </w:tabs>
      <w:jc w:val="center"/>
      <w:rPr>
        <w:lang w:val="en-CA"/>
      </w:rPr>
    </w:pPr>
    <w:r>
      <w:rPr>
        <w:lang w:val="en-CA"/>
      </w:rPr>
    </w:r>
    <w:r>
      <mc:AlternateContent>
        <mc:Choice Requires="wps">
          <w:drawing>
            <wp:anchor behindDoc="1" distT="0" distB="0" distL="114935" distR="114935" simplePos="0" locked="0" layoutInCell="0" allowOverlap="1" relativeHeight="11">
              <wp:simplePos x="0" y="0"/>
              <wp:positionH relativeFrom="page">
                <wp:posOffset>914400</wp:posOffset>
              </wp:positionH>
              <wp:positionV relativeFrom="paragraph">
                <wp:posOffset>635</wp:posOffset>
              </wp:positionV>
              <wp:extent cx="5943600" cy="152400"/>
              <wp:effectExtent l="0" t="0" r="0" b="0"/>
              <wp:wrapNone/>
              <wp:docPr id="1" name="Frame3"/>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0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r>
                  </w:p>
                </w:txbxContent>
              </v:textbox>
              <w10:wrap type="none"/>
            </v:rect>
          </w:pict>
        </mc:Fallback>
      </mc:AlternateContent>
    </w:r>
  </w:p>
  <w:p>
    <w:pPr>
      <w:pStyle w:val="Normal"/>
      <w:tabs>
        <w:tab w:val="left" w:pos="-1440" w:leader="none"/>
        <w:tab w:val="left" w:pos="-720" w:leader="none"/>
        <w:tab w:val="left" w:pos="0" w:leader="none"/>
        <w:tab w:val="left" w:pos="720" w:leader="none"/>
        <w:tab w:val="left" w:pos="1440" w:leader="none"/>
        <w:tab w:val="left" w:pos="2160" w:leader="none"/>
        <w:tab w:val="left" w:pos="3060" w:leader="none"/>
        <w:tab w:val="left" w:pos="4140" w:leader="none"/>
        <w:tab w:val="left" w:pos="5040" w:leader="none"/>
      </w:tabs>
      <w:spacing w:lineRule="exact" w:line="100" w:before="0" w:after="140"/>
      <w:jc w:val="center"/>
      <w:rPr>
        <w:sz w:val="10"/>
      </w:rPr>
    </w:pPr>
    <w:r>
      <w:rPr>
        <w:sz w:val="10"/>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Times New Roman" w:hAnsi="CG Times;Times New Roman" w:eastAsia="Times New Roman" w:cs="CG Times;Times New Roman"/>
      <w:color w:val="auto"/>
      <w:sz w:val="24"/>
      <w:szCs w:val="20"/>
      <w:lang w:val="en-US" w:eastAsia="zh-CN" w:bidi="hi-I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efaultParagraphFo">
    <w:name w:val="Default Paragraph Fo"/>
    <w:basedOn w:val="DefaultParagraphFont"/>
    <w:qForma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0" w:leader="none"/>
        <w:tab w:val="right" w:pos="8640" w:leader="none"/>
      </w:tabs>
      <w:suppressAutoHyphens w:val="true"/>
    </w:pPr>
    <w:rPr/>
  </w:style>
  <w:style w:type="paragraph" w:styleId="Header">
    <w:name w:val="header"/>
    <w:basedOn w:val="Normal"/>
    <w:pPr>
      <w:tabs>
        <w:tab w:val="clear" w:pos="720"/>
        <w:tab w:val="left" w:pos="0" w:leader="none"/>
        <w:tab w:val="right" w:pos="8640" w:leader="none"/>
      </w:tabs>
      <w:suppressAutoHyphens w:val="true"/>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2000-06-20T15:42:00Z</dcterms:created>
  <dc:creator>PFERGUSON</dc:creator>
  <dc:description/>
  <dc:language>en-CA</dc:language>
  <cp:lastModifiedBy>MWindmiller</cp:lastModifiedBy>
  <dcterms:modified xsi:type="dcterms:W3CDTF">2000-06-20T15:46:00Z</dcterms:modified>
  <cp:revision>3</cp:revision>
  <dc:subject/>
  <dc:title>Trustee Schedule A [SCHEDULE]</dc:title>
</cp:coreProperties>
</file>