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sz w:val="22"/>
        </w:rPr>
      </w:pPr>
      <w:r>
        <w:rPr>
          <w:b/>
          <w:sz w:val="22"/>
        </w:rPr>
        <w:t>February 19, 2001</w:t>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To: </w:t>
        <w:tab/>
        <w:t>The Honorable John Burton</w:t>
      </w:r>
    </w:p>
    <w:p>
      <w:pPr>
        <w:pStyle w:val="Normal"/>
        <w:ind w:firstLine="720" w:end="0"/>
        <w:rPr>
          <w:b/>
          <w:sz w:val="22"/>
        </w:rPr>
      </w:pPr>
      <w:r>
        <w:rPr>
          <w:b/>
          <w:sz w:val="22"/>
        </w:rPr>
        <w:t>Members, California State Senate</w:t>
      </w:r>
    </w:p>
    <w:p>
      <w:pPr>
        <w:pStyle w:val="Normal"/>
        <w:ind w:firstLine="720" w:end="0"/>
        <w:rPr>
          <w:b/>
          <w:sz w:val="22"/>
        </w:rPr>
      </w:pPr>
      <w:r>
        <w:rPr>
          <w:b/>
          <w:sz w:val="22"/>
        </w:rPr>
      </w:r>
    </w:p>
    <w:p>
      <w:pPr>
        <w:pStyle w:val="Normal"/>
        <w:rPr>
          <w:b/>
          <w:sz w:val="22"/>
        </w:rPr>
      </w:pPr>
      <w:r>
        <w:rPr>
          <w:b/>
          <w:sz w:val="22"/>
        </w:rPr>
        <w:t>From:</w:t>
        <w:tab/>
        <w:t>Hedy Govenar, Bev Hansen, Scott Govenar</w:t>
      </w:r>
    </w:p>
    <w:p>
      <w:pPr>
        <w:pStyle w:val="Heading2"/>
        <w:ind w:hanging="0" w:start="0"/>
        <w:rPr/>
      </w:pPr>
      <w:r>
        <w:rPr/>
        <w:tab/>
        <w:t>Legislative Advocates - Enron North America Corp. and Enron Energy Services</w:t>
      </w:r>
    </w:p>
    <w:p>
      <w:pPr>
        <w:pStyle w:val="Normal"/>
        <w:rPr>
          <w:b/>
          <w:sz w:val="22"/>
        </w:rPr>
      </w:pPr>
      <w:r>
        <w:rPr>
          <w:b/>
          <w:sz w:val="22"/>
        </w:rPr>
      </w:r>
    </w:p>
    <w:p>
      <w:pPr>
        <w:pStyle w:val="Heading2"/>
        <w:ind w:hanging="0" w:start="0"/>
        <w:rPr/>
      </w:pPr>
      <w:r>
        <w:rPr/>
        <w:t>Re:</w:t>
        <w:tab/>
        <w:t>Opposition to SBX 6</w:t>
      </w:r>
    </w:p>
    <w:p>
      <w:pPr>
        <w:pStyle w:val="Normal"/>
        <w:rPr>
          <w:sz w:val="22"/>
        </w:rPr>
      </w:pPr>
      <w:r>
        <w:rPr>
          <w:sz w:val="22"/>
        </w:rPr>
      </w:r>
    </w:p>
    <w:p>
      <w:pPr>
        <w:pStyle w:val="Normal"/>
        <w:rPr>
          <w:sz w:val="22"/>
        </w:rPr>
      </w:pPr>
      <w:r>
        <w:rPr>
          <w:sz w:val="22"/>
        </w:rPr>
      </w:r>
    </w:p>
    <w:p>
      <w:pPr>
        <w:pStyle w:val="BodyText"/>
        <w:ind w:firstLine="720" w:end="0"/>
        <w:rPr>
          <w:sz w:val="22"/>
        </w:rPr>
      </w:pPr>
      <w:r>
        <w:rPr>
          <w:sz w:val="22"/>
        </w:rPr>
        <w:t xml:space="preserve">As you prepare to vote on SBX 6, Enron North America Corp. and Enron Energy Services, Inc., collectively referred to herein as Enron, must regretfully advise you of their serious concerns with SBX 6.  </w:t>
      </w:r>
    </w:p>
    <w:p>
      <w:pPr>
        <w:pStyle w:val="BodyText"/>
        <w:ind w:hanging="0" w:end="0"/>
        <w:rPr>
          <w:sz w:val="22"/>
        </w:rPr>
      </w:pPr>
      <w:r>
        <w:rPr>
          <w:sz w:val="22"/>
        </w:rPr>
        <w:tab/>
        <w:t xml:space="preserve">SBX 6 would provide the newly created California Consumer Power and Conservation Financing Authority with sweeping powers, including the power to acquire investor-owned utility generation assets through eminent domain.  With the passage of ABX 1 the State of California has already taken an substantially more active role in the energy markets.  Enron is concerned that another even broader expansion of the state’s role in the electric market could have a negative impact on the energy infrastructure of the state as a whole.  </w:t>
      </w:r>
    </w:p>
    <w:p>
      <w:pPr>
        <w:pStyle w:val="BodyText"/>
        <w:ind w:firstLine="720" w:end="0"/>
        <w:rPr>
          <w:sz w:val="22"/>
        </w:rPr>
      </w:pPr>
      <w:r>
        <w:rPr>
          <w:sz w:val="22"/>
        </w:rPr>
        <w:t xml:space="preserve">First, Enron sees the prospect of a serious conflict of interest as a result of the State taking a major position as an owner of generation facilities while it also acts as the dominant buyer of energy in the state.  Recent legislation has authorized the DWR to become the primary purchaser of electricity for customers of the investor-owned utilities.  With the state holding dominant positions on both sides of the buyer and seller relationship, Enron is concerned about the possibility of preferences for state-owned and operated generation compared to power offered by other sellers.  At the time when the State is seeking to encourage more private parties to offer electricity for sale in California at attractive market prices, it would be very damaging to the market for the state to exercise market power or offer undue preferences to its own generation department, thereby discouraging other parties from even entering the California market.  </w:t>
      </w:r>
    </w:p>
    <w:p>
      <w:pPr>
        <w:pStyle w:val="BodyText"/>
        <w:ind w:firstLine="720" w:end="0"/>
        <w:rPr>
          <w:sz w:val="22"/>
        </w:rPr>
      </w:pPr>
      <w:r>
        <w:rPr>
          <w:sz w:val="22"/>
        </w:rPr>
        <w:t>Enron is also concerned that a newly created state authority will not be able to operate the far flung utility generation system comprised of aged, inefficient generation units as reliably, or as cost-effectively, as private parties with a strong financial incentive to compete in the marketplace.  In the long run, this lack of generation competition as an incentive may result in these units producing much more expensive power for customers.  Given the substantial problems facing the California energy market at this time, it would not seem wise to risk additional inefficiencies by imposing such a crucial task on an entirely new department of state government.</w:t>
      </w:r>
    </w:p>
    <w:p>
      <w:pPr>
        <w:pStyle w:val="BodyText"/>
        <w:spacing w:before="0" w:after="240"/>
        <w:ind w:hanging="0" w:end="0"/>
        <w:rPr>
          <w:sz w:val="22"/>
        </w:rPr>
      </w:pPr>
      <w:r>
        <w:rPr>
          <w:sz w:val="22"/>
        </w:rPr>
        <w:tab/>
        <w:t xml:space="preserve">Enron is eager to work with you and other members of the Legislature to find comprehensive solutions to California’s energy crisis. Enron’s concerns regarding SBX 6 lead it to conclude that it could result in significantly less efficient generation, higher costs for consumers, and less private investment and competition in the California electric market. Enron looks forward to continuing a dialog with you and with other members of the Legislature as we seek solutions to the array of challenges facing California and its energy markets.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2001-02-20T10:31:00Z</dcterms:created>
  <dc:creator>Governmental Advocates, Inc.</dc:creator>
  <dc:description/>
  <dc:language>en-CA</dc:language>
  <cp:lastModifiedBy>Governmental Advocates, Inc.</cp:lastModifiedBy>
  <dcterms:modified xsi:type="dcterms:W3CDTF">2001-02-20T10:36:00Z</dcterms:modified>
  <cp:revision>1</cp:revision>
  <dc:subject/>
  <dc:title>February 19, 2001</dc:title>
</cp:coreProperties>
</file>