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rPr/>
      </w:pPr>
      <w:r>
        <w:rPr/>
        <w:t>Exchange-traded futures</w:t>
      </w:r>
    </w:p>
    <w:p>
      <w:pPr>
        <w:pStyle w:val="Normal"/>
        <w:rPr/>
      </w:pPr>
      <w:r>
        <w:rPr/>
      </w:r>
    </w:p>
    <w:p>
      <w:pPr>
        <w:pStyle w:val="Normal"/>
        <w:ind w:start="1080" w:end="0"/>
        <w:rPr/>
      </w:pPr>
      <w:r>
        <w:rPr/>
        <w:t>Enron has extensive experience in trading energy commodities and other commodities on exchanges.  Are there any special considerations with respect to agricultural commodities?  Are there particular considerations with respect to grains/meats/ “softs”?</w:t>
      </w:r>
    </w:p>
    <w:p>
      <w:pPr>
        <w:pStyle w:val="Normal"/>
        <w:ind w:start="1080" w:end="0"/>
        <w:rPr/>
      </w:pPr>
      <w:r>
        <w:rPr/>
        <w:t>Are there particular ag implications with respect to requirements to be licensed by NFA (in particular, w/ respect to CTA’s)?</w:t>
      </w:r>
    </w:p>
    <w:p>
      <w:pPr>
        <w:pStyle w:val="Normal"/>
        <w:ind w:start="360" w:end="0"/>
        <w:rPr/>
      </w:pPr>
      <w:r>
        <w:rPr/>
      </w:r>
    </w:p>
    <w:p>
      <w:pPr>
        <w:pStyle w:val="Normal"/>
        <w:numPr>
          <w:ilvl w:val="0"/>
          <w:numId w:val="1"/>
        </w:numPr>
        <w:rPr/>
      </w:pPr>
      <w:r>
        <w:rPr/>
        <w:t>Over-the-counter derivatives</w:t>
      </w:r>
    </w:p>
    <w:p>
      <w:pPr>
        <w:pStyle w:val="Normal"/>
        <w:rPr/>
      </w:pPr>
      <w:r>
        <w:rPr/>
      </w:r>
    </w:p>
    <w:p>
      <w:pPr>
        <w:pStyle w:val="Normal"/>
        <w:numPr>
          <w:ilvl w:val="1"/>
          <w:numId w:val="1"/>
        </w:numPr>
        <w:rPr/>
      </w:pPr>
      <w:r>
        <w:rPr/>
        <w:t xml:space="preserve">Swaps </w:t>
      </w:r>
    </w:p>
    <w:p>
      <w:pPr>
        <w:pStyle w:val="Normal"/>
        <w:ind w:start="1080" w:end="0"/>
        <w:rPr/>
      </w:pPr>
      <w:r>
        <w:rPr/>
      </w:r>
    </w:p>
    <w:p>
      <w:pPr>
        <w:pStyle w:val="Normal"/>
        <w:numPr>
          <w:ilvl w:val="2"/>
          <w:numId w:val="1"/>
        </w:numPr>
        <w:rPr/>
      </w:pPr>
      <w:r>
        <w:rPr/>
        <w:t>how do the safe harbor requirements affect the ag participation?</w:t>
      </w:r>
    </w:p>
    <w:p>
      <w:pPr>
        <w:pStyle w:val="Normal"/>
        <w:rPr/>
      </w:pPr>
      <w:r>
        <w:rPr/>
      </w:r>
    </w:p>
    <w:p>
      <w:pPr>
        <w:pStyle w:val="Normal"/>
        <w:numPr>
          <w:ilvl w:val="2"/>
          <w:numId w:val="1"/>
        </w:numPr>
        <w:rPr/>
      </w:pPr>
      <w:r>
        <w:rPr/>
        <w:t>How active is the ag swaps market?  Who is active in the markets?</w:t>
      </w:r>
    </w:p>
    <w:p>
      <w:pPr>
        <w:pStyle w:val="Normal"/>
        <w:rPr/>
      </w:pPr>
      <w:r>
        <w:rPr/>
      </w:r>
    </w:p>
    <w:p>
      <w:pPr>
        <w:pStyle w:val="Normal"/>
        <w:ind w:start="1980" w:end="0"/>
        <w:rPr/>
      </w:pPr>
      <w:r>
        <w:rPr/>
        <w:t>(3)</w:t>
        <w:tab/>
        <w:t>How sophisiticated is the trading (e.g. are hedges being “unbundled” into basis hedges, etc.)?</w:t>
      </w:r>
    </w:p>
    <w:p>
      <w:pPr>
        <w:pStyle w:val="Normal"/>
        <w:rPr/>
      </w:pPr>
      <w:r>
        <w:rPr/>
      </w:r>
    </w:p>
    <w:p>
      <w:pPr>
        <w:pStyle w:val="Normal"/>
        <w:numPr>
          <w:ilvl w:val="0"/>
          <w:numId w:val="3"/>
        </w:numPr>
        <w:rPr/>
      </w:pPr>
      <w:r>
        <w:rPr/>
        <w:t>Provided all requirements are met, are co-ops eligible swap participants?  Are there any special considerations with respect to co-ops?</w:t>
      </w:r>
    </w:p>
    <w:p>
      <w:pPr>
        <w:pStyle w:val="Normal"/>
        <w:rPr/>
      </w:pPr>
      <w:r>
        <w:rPr/>
      </w:r>
    </w:p>
    <w:p>
      <w:pPr>
        <w:pStyle w:val="Normal"/>
        <w:numPr>
          <w:ilvl w:val="1"/>
          <w:numId w:val="1"/>
        </w:numPr>
        <w:rPr/>
      </w:pPr>
      <w:r>
        <w:rPr/>
        <w:t>Trade Options</w:t>
      </w:r>
    </w:p>
    <w:p>
      <w:pPr>
        <w:pStyle w:val="Normal"/>
        <w:rPr/>
      </w:pPr>
      <w:r>
        <w:rPr/>
      </w:r>
    </w:p>
    <w:p>
      <w:pPr>
        <w:pStyle w:val="Normal"/>
        <w:numPr>
          <w:ilvl w:val="2"/>
          <w:numId w:val="1"/>
        </w:numPr>
        <w:rPr/>
      </w:pPr>
      <w:r>
        <w:rPr/>
        <w:t>Briefly set forth the general rule (offeree to offeror in the business) and discuss special rules for “enumerated commodities”</w:t>
      </w:r>
    </w:p>
    <w:p>
      <w:pPr>
        <w:pStyle w:val="Normal"/>
        <w:rPr/>
      </w:pPr>
      <w:r>
        <w:rPr/>
      </w:r>
    </w:p>
    <w:p>
      <w:pPr>
        <w:pStyle w:val="Normal"/>
        <w:numPr>
          <w:ilvl w:val="0"/>
          <w:numId w:val="2"/>
        </w:numPr>
        <w:rPr/>
      </w:pPr>
      <w:r>
        <w:rPr/>
        <w:t>Latest on ATOM registration</w:t>
      </w:r>
    </w:p>
    <w:p>
      <w:pPr>
        <w:pStyle w:val="Normal"/>
        <w:rPr/>
      </w:pPr>
      <w:r>
        <w:rPr/>
      </w:r>
    </w:p>
    <w:p>
      <w:pPr>
        <w:pStyle w:val="Normal"/>
        <w:numPr>
          <w:ilvl w:val="0"/>
          <w:numId w:val="2"/>
        </w:numPr>
        <w:rPr/>
      </w:pPr>
      <w:r>
        <w:rPr/>
        <w:t>Are market participants trading ag options under the $10mm net worth safe harbor?</w:t>
      </w:r>
    </w:p>
    <w:p>
      <w:pPr>
        <w:pStyle w:val="Normal"/>
        <w:rPr/>
      </w:pPr>
      <w:r>
        <w:rPr/>
      </w:r>
    </w:p>
    <w:p>
      <w:pPr>
        <w:pStyle w:val="Normal"/>
        <w:rPr/>
      </w:pPr>
      <w:r>
        <w:rPr/>
        <w:t>III.</w:t>
        <w:tab/>
        <w:t>Physical contracts</w:t>
      </w:r>
    </w:p>
    <w:p>
      <w:pPr>
        <w:pStyle w:val="Normal"/>
        <w:rPr/>
      </w:pPr>
      <w:r>
        <w:rPr/>
      </w:r>
    </w:p>
    <w:p>
      <w:pPr>
        <w:pStyle w:val="Normal"/>
        <w:ind w:start="720" w:end="0"/>
        <w:rPr/>
      </w:pPr>
      <w:r>
        <w:rPr/>
        <w:t>A.</w:t>
        <w:tab/>
        <w:t>Set forth general rule: “forward” contracts may be traded off-exchange; when cash/physical delivery contracts embed optionalities and cash settlement features, there is a heightened risk of CFTC scrutiny and enforcement action.</w:t>
      </w:r>
    </w:p>
    <w:p>
      <w:pPr>
        <w:pStyle w:val="Normal"/>
        <w:rPr/>
      </w:pPr>
      <w:r>
        <w:rPr/>
      </w:r>
    </w:p>
    <w:p>
      <w:pPr>
        <w:pStyle w:val="Normal"/>
        <w:ind w:start="720" w:end="0"/>
        <w:rPr/>
      </w:pPr>
      <w:r>
        <w:rPr/>
        <w:t>B.</w:t>
        <w:tab/>
        <w:t>Describe structures that have been approved by CFTC, and those that have resulted in enforcement actions.</w:t>
      </w:r>
    </w:p>
    <w:p>
      <w:pPr>
        <w:pStyle w:val="Normal"/>
        <w:rPr/>
      </w:pPr>
      <w:r>
        <w:rPr/>
      </w:r>
    </w:p>
    <w:p>
      <w:pPr>
        <w:pStyle w:val="Normal"/>
        <w:ind w:start="720" w:end="0"/>
        <w:rPr/>
      </w:pPr>
      <w:r>
        <w:rPr/>
        <w:t>C.</w:t>
        <w:tab/>
        <w:t>“Hedge-to-arrive” controversy</w:t>
      </w:r>
    </w:p>
    <w:p>
      <w:pPr>
        <w:pStyle w:val="Normal"/>
        <w:rPr/>
      </w:pPr>
      <w:r>
        <w:rPr/>
      </w:r>
    </w:p>
    <w:p>
      <w:pPr>
        <w:pStyle w:val="Normal"/>
        <w:ind w:start="720" w:end="0"/>
        <w:rPr/>
      </w:pPr>
      <w:r>
        <w:rPr/>
        <w:t>D.</w:t>
        <w:tab/>
        <w:t>Your impression of current CFTC “temperature” in general in the area of physical contracts</w:t>
      </w:r>
    </w:p>
    <w:p>
      <w:pPr>
        <w:pStyle w:val="Normal"/>
        <w:rPr/>
      </w:pPr>
      <w:r>
        <w:rPr/>
      </w:r>
    </w:p>
    <w:p>
      <w:pPr>
        <w:pStyle w:val="Normal"/>
        <w:numPr>
          <w:ilvl w:val="3"/>
          <w:numId w:val="3"/>
        </w:numPr>
        <w:tabs>
          <w:tab w:val="left" w:pos="720" w:leader="none"/>
        </w:tabs>
        <w:ind w:hanging="720" w:start="720" w:end="0"/>
        <w:rPr/>
      </w:pPr>
      <w:r>
        <w:rPr/>
        <w:t>Legislative/regulatory issues</w:t>
      </w:r>
    </w:p>
    <w:p>
      <w:pPr>
        <w:pStyle w:val="Normal"/>
        <w:rPr/>
      </w:pPr>
      <w:r>
        <w:rPr/>
      </w:r>
    </w:p>
    <w:p>
      <w:pPr>
        <w:pStyle w:val="Normal"/>
        <w:numPr>
          <w:ilvl w:val="4"/>
          <w:numId w:val="3"/>
        </w:numPr>
        <w:tabs>
          <w:tab w:val="left" w:pos="720" w:leader="none"/>
        </w:tabs>
        <w:ind w:hanging="900" w:start="900" w:end="0"/>
        <w:rPr/>
      </w:pPr>
      <w:r>
        <w:rPr/>
        <w:t xml:space="preserve">Briefly highlight ag implications of  Modernization Act and pending proposed rulemaking </w:t>
      </w:r>
    </w:p>
    <w:p>
      <w:pPr>
        <w:pStyle w:val="Normal"/>
        <w:rPr/>
      </w:pPr>
      <w:r>
        <w:rPr/>
      </w:r>
    </w:p>
    <w:p>
      <w:pPr>
        <w:pStyle w:val="Normal"/>
        <w:numPr>
          <w:ilvl w:val="4"/>
          <w:numId w:val="3"/>
        </w:numPr>
        <w:tabs>
          <w:tab w:val="left" w:pos="720" w:leader="none"/>
        </w:tabs>
        <w:ind w:hanging="540" w:start="720" w:end="0"/>
        <w:rPr/>
      </w:pPr>
      <w:r>
        <w:rPr/>
        <w:t>General discussion of ag trading regulatory climate; recent developments, and what’s on the horizon – are there good news items and bad news items?</w:t>
      </w:r>
    </w:p>
    <w:p>
      <w:pPr>
        <w:pStyle w:val="Normal"/>
        <w:rPr/>
      </w:pPr>
      <w:r>
        <w:rPr/>
      </w:r>
    </w:p>
    <w:p>
      <w:pPr>
        <w:pStyle w:val="Normal"/>
        <w:rPr/>
      </w:pPr>
      <w:r>
        <w:rPr/>
      </w:r>
    </w:p>
    <w:p>
      <w:pPr>
        <w:pStyle w:val="Normal"/>
        <w:ind w:start="1980" w:end="0"/>
        <w:rPr/>
      </w:pPr>
      <w:r>
        <w:rPr/>
      </w:r>
    </w:p>
    <w:p>
      <w:pPr>
        <w:pStyle w:val="Normal"/>
        <w:rPr/>
      </w:pPr>
      <w:r>
        <w:rPr/>
      </w:r>
    </w:p>
    <w:p>
      <w:pPr>
        <w:pStyle w:val="Normal"/>
        <w:ind w:start="1080" w:end="0"/>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1080"/>
        </w:tabs>
        <w:ind w:start="1080" w:hanging="720"/>
      </w:pPr>
      <w:rPr/>
    </w:lvl>
    <w:lvl w:ilvl="1">
      <w:start w:val="1"/>
      <w:numFmt w:val="upperLetter"/>
      <w:lvlText w:val="%2."/>
      <w:lvlJc w:val="start"/>
      <w:pPr>
        <w:tabs>
          <w:tab w:val="num" w:pos="2160"/>
        </w:tabs>
        <w:ind w:start="2160" w:hanging="1080"/>
      </w:pPr>
      <w:rPr/>
    </w:lvl>
    <w:lvl w:ilvl="2">
      <w:start w:val="1"/>
      <w:numFmt w:val="decimal"/>
      <w:lvlText w:val="(%3)"/>
      <w:lvlJc w:val="start"/>
      <w:pPr>
        <w:tabs>
          <w:tab w:val="num" w:pos="2685"/>
        </w:tabs>
        <w:ind w:start="2685" w:hanging="705"/>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2"/>
      <w:numFmt w:val="decimal"/>
      <w:lvlText w:val="(%1)"/>
      <w:lvlJc w:val="start"/>
      <w:pPr>
        <w:tabs>
          <w:tab w:val="num" w:pos="2520"/>
        </w:tabs>
        <w:ind w:start="2520" w:hanging="360"/>
      </w:pPr>
      <w:rPr/>
    </w:lvl>
  </w:abstractNum>
  <w:abstractNum w:abstractNumId="3">
    <w:lvl w:ilvl="0">
      <w:start w:val="4"/>
      <w:numFmt w:val="decimal"/>
      <w:lvlText w:val="(%1)"/>
      <w:lvlJc w:val="start"/>
      <w:pPr>
        <w:tabs>
          <w:tab w:val="num" w:pos="2340"/>
        </w:tabs>
        <w:ind w:start="2340" w:hanging="360"/>
      </w:pPr>
      <w:rPr/>
    </w:lvl>
    <w:lvl w:ilvl="1">
      <w:start w:val="1"/>
      <w:numFmt w:val="lowerLetter"/>
      <w:lvlText w:val="%2."/>
      <w:lvlJc w:val="start"/>
      <w:pPr>
        <w:tabs>
          <w:tab w:val="num" w:pos="3060"/>
        </w:tabs>
        <w:ind w:start="3060" w:hanging="360"/>
      </w:pPr>
    </w:lvl>
    <w:lvl w:ilvl="2">
      <w:start w:val="1"/>
      <w:numFmt w:val="lowerRoman"/>
      <w:lvlText w:val="%3."/>
      <w:lvlJc w:val="end"/>
      <w:pPr>
        <w:tabs>
          <w:tab w:val="num" w:pos="3780"/>
        </w:tabs>
        <w:ind w:start="3780" w:hanging="180"/>
      </w:pPr>
    </w:lvl>
    <w:lvl w:ilvl="3">
      <w:start w:val="4"/>
      <w:numFmt w:val="upperRoman"/>
      <w:lvlText w:val="%4."/>
      <w:lvlJc w:val="start"/>
      <w:pPr>
        <w:tabs>
          <w:tab w:val="num" w:pos="4860"/>
        </w:tabs>
        <w:ind w:start="4860" w:hanging="720"/>
      </w:pPr>
      <w:rPr/>
    </w:lvl>
    <w:lvl w:ilvl="4">
      <w:start w:val="1"/>
      <w:numFmt w:val="upperLetter"/>
      <w:lvlText w:val="%5."/>
      <w:lvlJc w:val="start"/>
      <w:pPr>
        <w:tabs>
          <w:tab w:val="num" w:pos="5220"/>
        </w:tabs>
        <w:ind w:start="5220" w:hanging="360"/>
      </w:pPr>
      <w:rPr/>
    </w:lvl>
    <w:lvl w:ilvl="5">
      <w:start w:val="1"/>
      <w:numFmt w:val="lowerRoman"/>
      <w:lvlText w:val="%6."/>
      <w:lvlJc w:val="end"/>
      <w:pPr>
        <w:tabs>
          <w:tab w:val="num" w:pos="5940"/>
        </w:tabs>
        <w:ind w:start="5940" w:hanging="180"/>
      </w:pPr>
    </w:lvl>
    <w:lvl w:ilvl="6">
      <w:start w:val="1"/>
      <w:numFmt w:val="decimal"/>
      <w:lvlText w:val="%7."/>
      <w:lvlJc w:val="start"/>
      <w:pPr>
        <w:tabs>
          <w:tab w:val="num" w:pos="6660"/>
        </w:tabs>
        <w:ind w:start="6660" w:hanging="360"/>
      </w:pPr>
    </w:lvl>
    <w:lvl w:ilvl="7">
      <w:start w:val="1"/>
      <w:numFmt w:val="lowerLetter"/>
      <w:lvlText w:val="%8."/>
      <w:lvlJc w:val="start"/>
      <w:pPr>
        <w:tabs>
          <w:tab w:val="num" w:pos="7380"/>
        </w:tabs>
        <w:ind w:start="7380" w:hanging="360"/>
      </w:pPr>
    </w:lvl>
    <w:lvl w:ilvl="8">
      <w:start w:val="1"/>
      <w:numFmt w:val="lowerRoman"/>
      <w:lvlText w:val="%9."/>
      <w:lvlJc w:val="end"/>
      <w:pPr>
        <w:tabs>
          <w:tab w:val="num" w:pos="8100"/>
        </w:tabs>
        <w:ind w:start="8100" w:hanging="18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2000-08-04T15:12:00Z</dcterms:created>
  <dc:creator>rbruce2</dc:creator>
  <dc:description/>
  <dc:language>en-CA</dc:language>
  <cp:lastModifiedBy>rbruce2</cp:lastModifiedBy>
  <cp:lastPrinted>2000-08-04T13:10:00Z</cp:lastPrinted>
  <dcterms:modified xsi:type="dcterms:W3CDTF">2000-08-04T18:24:00Z</dcterms:modified>
  <cp:revision>4</cp:revision>
  <dc:subject/>
  <dc:title>I</dc:title>
</cp:coreProperties>
</file>