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South Australian NEM Flat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5.</w:t>
        <w:tab/>
        <w:t>The Index shall be the spot price at the South Australian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“South Australian NEM Flat” period during the term of the Transaction. South Australian NEM Flat commences with the half-hour period ending at 00:30 hours and ends with the half-hour period ending at 00:00 hours on all days including holidays.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SA_EAF_Long_Form_Swap_Vic_Flat_Final.doc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2000-02-21T01:11:00Z</dcterms:created>
  <dc:creator>David Minns</dc:creator>
  <dc:description/>
  <dc:language>en-CA</dc:language>
  <cp:lastModifiedBy>psmith</cp:lastModifiedBy>
  <cp:lastPrinted>2000-02-21T15:27:00Z</cp:lastPrinted>
  <dcterms:modified xsi:type="dcterms:W3CDTF">2000-02-21T01:59:00Z</dcterms:modified>
  <cp:revision>4</cp:revision>
  <dc:subject/>
  <dc:title>A Transaction under which one Party pays a Floating Amount and the other Party pays a Fixed Amount in respect of the Notional Quantity per Calculation Period</dc:title>
</cp:coreProperties>
</file>