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rPr>
        <w:t>UNITED STATES OF AMERICA</w:t>
      </w:r>
    </w:p>
    <w:p>
      <w:pPr>
        <w:pStyle w:val="Normal"/>
        <w:widowControl/>
        <w:tabs>
          <w:tab w:val="clear" w:pos="720"/>
          <w:tab w:val="center" w:pos="4680" w:leader="none"/>
        </w:tabs>
        <w:jc w:val="both"/>
        <w:rPr>
          <w:b/>
        </w:rPr>
      </w:pPr>
      <w:r>
        <w:rPr>
          <w:b/>
        </w:rPr>
        <w:tab/>
        <w:t>BEFORE THE</w:t>
      </w:r>
    </w:p>
    <w:p>
      <w:pPr>
        <w:pStyle w:val="Normal"/>
        <w:widowControl/>
        <w:tabs>
          <w:tab w:val="clear" w:pos="720"/>
          <w:tab w:val="center" w:pos="4680" w:leader="none"/>
        </w:tabs>
        <w:jc w:val="both"/>
        <w:rPr>
          <w:b/>
        </w:rPr>
      </w:pPr>
      <w:r>
        <w:rPr>
          <w:b/>
        </w:rPr>
        <w:tab/>
        <w:t>FEDERAL ENERGY REGULATORY COMMISSION</w:t>
      </w:r>
    </w:p>
    <w:p>
      <w:pPr>
        <w:pStyle w:val="Normal"/>
        <w:widowControl/>
        <w:jc w:val="both"/>
        <w:rPr>
          <w:b/>
        </w:rPr>
      </w:pPr>
      <w:r>
        <w:rPr>
          <w:b/>
        </w:rPr>
      </w:r>
    </w:p>
    <w:p>
      <w:pPr>
        <w:pStyle w:val="Normal"/>
        <w:widowControl/>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right" w:pos="9360" w:leader="none"/>
        </w:tabs>
        <w:ind w:hanging="5760" w:start="5760" w:end="0"/>
        <w:jc w:val="both"/>
        <w:rPr>
          <w:b/>
        </w:rPr>
      </w:pPr>
      <w:r>
        <w:rPr>
          <w:b/>
        </w:rPr>
        <w:t>SAN DIEGO GAS &amp; ELECTRIC COMPANY</w:t>
        <w:tab/>
        <w:t xml:space="preserve"> )</w:t>
        <w:tab/>
        <w:tab/>
        <w:t>DOCKET NO. RP01-180-000</w:t>
      </w:r>
    </w:p>
    <w:p>
      <w:pPr>
        <w:pStyle w:val="Normal"/>
        <w:widowControl/>
        <w:jc w:val="both"/>
        <w:rPr>
          <w:b/>
        </w:rPr>
      </w:pPr>
      <w:r>
        <w:rPr>
          <w:b/>
        </w:rPr>
      </w:r>
    </w:p>
    <w:p>
      <w:pPr>
        <w:pStyle w:val="Normal"/>
        <w:widowControl/>
        <w:jc w:val="both"/>
        <w:rPr>
          <w:b/>
        </w:rPr>
      </w:pPr>
      <w:r>
        <w:rPr>
          <w:b/>
        </w:rPr>
      </w:r>
    </w:p>
    <w:p>
      <w:pPr>
        <w:pStyle w:val="Normal"/>
        <w:widowControl/>
        <w:tabs>
          <w:tab w:val="clear" w:pos="720"/>
          <w:tab w:val="center" w:pos="4680" w:leader="none"/>
        </w:tabs>
        <w:jc w:val="both"/>
        <w:rPr/>
      </w:pPr>
      <w:r>
        <w:rPr/>
        <w:tab/>
      </w:r>
      <w:r>
        <w:rPr>
          <w:b/>
        </w:rPr>
        <w:t>COMMENTS OF</w:t>
      </w:r>
    </w:p>
    <w:p>
      <w:pPr>
        <w:pStyle w:val="Normal"/>
        <w:widowControl/>
        <w:tabs>
          <w:tab w:val="clear" w:pos="720"/>
          <w:tab w:val="center" w:pos="4680" w:leader="none"/>
        </w:tabs>
        <w:jc w:val="both"/>
        <w:rPr>
          <w:b/>
        </w:rPr>
      </w:pPr>
      <w:r>
        <w:rPr>
          <w:b/>
        </w:rPr>
        <w:tab/>
        <w:t>ENRON NORTH AMERICA CORP.</w:t>
      </w:r>
    </w:p>
    <w:p>
      <w:pPr>
        <w:pStyle w:val="Normal"/>
        <w:widowControl/>
        <w:jc w:val="both"/>
        <w:rPr>
          <w:b/>
        </w:rPr>
      </w:pPr>
      <w:r>
        <w:rPr>
          <w:b/>
        </w:rPr>
      </w:r>
    </w:p>
    <w:p>
      <w:pPr>
        <w:pStyle w:val="Normal"/>
        <w:widowControl/>
        <w:spacing w:lineRule="auto" w:line="480"/>
        <w:ind w:firstLine="720" w:end="0"/>
        <w:jc w:val="both"/>
        <w:rPr/>
      </w:pPr>
      <w:r>
        <w:rPr/>
        <w:t>Pursuant to the Commission's notice issued December 8, 2000, Enron North America Corp. ("ENA") submits its comments on the Request for Emergency Relief ("Request") filed December 7, 2000 by San Diego Gas &amp; Electric Company ("SDG&amp;E").</w:t>
      </w:r>
      <w:r>
        <w:rPr>
          <w:rStyle w:val="FootnoteCharacters"/>
          <w:rStyle w:val="FootnoteReference"/>
          <w:vertAlign w:val="superscript"/>
        </w:rPr>
        <w:footnoteReference w:id="2"/>
      </w:r>
      <w:r>
        <w:rPr/>
        <w:t xml:space="preserve">  For the reasons set forth below, the Commission should deny SDG&amp;E's Request. </w:t>
      </w:r>
    </w:p>
    <w:p>
      <w:pPr>
        <w:pStyle w:val="Heading1"/>
        <w:ind w:hanging="0" w:start="0"/>
        <w:rPr/>
      </w:pPr>
      <w:r>
        <w:rPr/>
        <w:t>INTRODUCTION</w:t>
      </w:r>
    </w:p>
    <w:p>
      <w:pPr>
        <w:pStyle w:val="BodyText"/>
        <w:widowControl w:val="false"/>
        <w:rPr/>
      </w:pPr>
      <w:r>
        <w:rPr/>
        <w:tab/>
        <w:t xml:space="preserve">SDG&amp;E asks the Commission to change its course: (1) to reverse findings made less than one year ago, in Order No. 637, that convinced the Commission that the secondary market for short-term (under one year) natural gas pipeline capacity is workably competitive and caused it to decide to decontrol prices in that market and (2) to reregulate natural gas prices almost ten years after removal of price controls.  SDG&amp;E argues that these actions are necessary because  they have led to high sort- and short-term gas prices delivered into Southern California during the past two months.  </w:t>
      </w:r>
    </w:p>
    <w:p>
      <w:pPr>
        <w:pStyle w:val="BodyText"/>
        <w:widowControl w:val="false"/>
        <w:rPr/>
      </w:pPr>
      <w:r>
        <w:rPr/>
        <w:tab/>
        <w:t>The Commission should decline SDG&amp;E's emergency request.  The alleged connection between recent high prices for delivered gas and secondary market prices for released capacity is demonstrably false.  As explained below, during the period in question, there have been relatively few sales of pipeline capacity in the secondary market; among those few, prices generally been in line with the cost-of-service prices in the regulated primary market for pipeline capacity.  By imposing price caps on some, but not all, sellers into California, the number of competitors might become smaller.  Moreover, certain selllers will remain legally free to charge whatever prices the market will bear.  Consequently, reimposing price controls on that market will not bring price relief to Southern California.  Rather, as the Commission has found elsewhere, price caps will only create arbitrage opportunities that will cause holders of capacity to release it for deliveries into other markets, reducing supply and further driving up Southern California prices. [CITATION]</w:t>
      </w:r>
    </w:p>
    <w:p>
      <w:pPr>
        <w:pStyle w:val="BodyText"/>
        <w:widowControl w:val="false"/>
        <w:rPr/>
      </w:pPr>
      <w:r>
        <w:rPr/>
        <w:tab/>
        <w:t>SDG&amp;E proposes a solution where there is no problem.  It does so in an apparent attempt to deflect blame that rightfully attaches to SDG&amp;E's own supply acquisition strategy.  During the past summer there was capacity available into Southern California that was not used.  SDG&amp;E does not explain why it did not take advantage of that capacity to fill its local storage facilities.  SDG&amp;E's failure to do so, coupled with its failure to contract forward at prices that remain relatively low and stable, has made it reliant on inherently volatile spot and short-term markets.  These facts do not suggest that the Commission was mistaken last March when it implemented Order No. 637 and eliminated price caps in the secondary market.  Rather, they point to poor planning by SDG&amp;E.</w:t>
      </w:r>
    </w:p>
    <w:p>
      <w:pPr>
        <w:pStyle w:val="BodyText"/>
        <w:widowControl w:val="false"/>
        <w:rPr/>
      </w:pPr>
      <w:r>
        <w:rPr/>
        <w:tab/>
        <w:t xml:space="preserve">Rather than act precipitously in response to the unsupported allegations in SDG&amp;E's emergency petition, the Commission should proceed sensibly as it has in connection with California's electric power market.  Specifically, it should ask its staff to investigate the cause of SDG&amp;E's vulnerability to volatile gas prices.  As was the case in its recent investigations  into California's power market, the Commission will find the cause in reckless reliance on the spot market, too little hedging through forward contracting, and inadequate development of price-responsive demand. [CITATION]  </w:t>
      </w:r>
    </w:p>
    <w:p>
      <w:pPr>
        <w:pStyle w:val="Heading2"/>
        <w:rPr/>
      </w:pPr>
      <w:r>
        <w:rPr/>
        <w:t>DISCUSSION</w:t>
      </w:r>
    </w:p>
    <w:p>
      <w:pPr>
        <w:pStyle w:val="BodyText"/>
        <w:spacing w:before="120" w:after="0"/>
        <w:rPr/>
      </w:pPr>
      <w:r>
        <w:rPr/>
        <w:t>1.</w:t>
        <w:tab/>
        <w:t xml:space="preserve">SDG&amp;E has alleged that the "market for interstate pipeline capacity in California is showing significant distortions."  It suggests that the "real cost of interstate pipeline capacity serving California has risen to many multiples of the pipelines' [as billed rates]."  SDG&amp;E concludes that "the natural gas transportation and sales market to California is not workably competitive."  </w:t>
      </w:r>
    </w:p>
    <w:p>
      <w:pPr>
        <w:pStyle w:val="Normal"/>
        <w:widowControl/>
        <w:spacing w:lineRule="auto" w:line="480"/>
        <w:ind w:firstLine="720" w:end="0"/>
        <w:jc w:val="both"/>
        <w:rPr/>
      </w:pPr>
      <w:r>
        <w:rPr/>
        <w:t xml:space="preserve">Consequently, SDG&amp;E seeks emergency relief.  It asks that the Commission: (1) immediately suspend the ability of shippers of natural gas into California to charge above the as-billed rates for the short-term release of capacity or short-term pipeline sales; (2) require sellers of gas to separately state the transportation and commodity components of bundled sales at the California border and points of interconnect between interstate pipelines and California LDCs in order to enforce a price cap on such transactions; and, in the alternative, (3) establish a cap mechanism on bundled sales into California at 150% of the sum of a reported average commodity sales price plus the as-billed rate for interstate transportation. </w:t>
      </w:r>
    </w:p>
    <w:p>
      <w:pPr>
        <w:pStyle w:val="Normal"/>
        <w:widowControl/>
        <w:spacing w:lineRule="auto" w:line="480"/>
        <w:jc w:val="both"/>
        <w:rPr/>
      </w:pPr>
      <w:r>
        <w:rPr/>
        <w:tab/>
        <w:t xml:space="preserve">SDG&amp;E has not demonstrated (1) the need for such extraordinary relief, (2) that the Commission has a basis to provide  the relief requested (either in terms of legal authority or the types of factual findings that must support that showing), or (3) that the relief  requested will, in fact, remedy the alleged harm.  In ENA's view, the relief sought is not justified by the limited allegations presented and, more importantly, the relief requested (at least the relief the Commission has the authority to provide) will not necessarily result in lower prices for natural gas delivered into California and could even lead to shortages of gas in California. </w:t>
      </w:r>
    </w:p>
    <w:p>
      <w:pPr>
        <w:pStyle w:val="BodyText"/>
        <w:spacing w:before="120" w:after="0"/>
        <w:rPr/>
      </w:pPr>
      <w:r>
        <w:rPr/>
        <w:t>2.</w:t>
        <w:tab/>
        <w:t xml:space="preserve">As the basis for its relief, SDG&amp;E claims that the spot price of natural gas at the California border is over $50 per MMBtu, that spot prices in the southwestern U.S. basins are less than $10, and the "as-billed  rates" of the interstate pipelines serving California are between $ .31 and $ .67 per MMBtu.  It then uses the conclusion that the cost of short-term pipeline capacity has been bid up above the pipelines' as-billed rates as a means of justifying reimposition of a short-term secondary market cap.  </w:t>
      </w:r>
    </w:p>
    <w:p>
      <w:pPr>
        <w:pStyle w:val="Normal"/>
        <w:spacing w:lineRule="auto" w:line="480"/>
        <w:jc w:val="both"/>
        <w:rPr/>
      </w:pPr>
      <w:r>
        <w:rPr/>
        <w:tab/>
        <w:t xml:space="preserve">Yet it is the missing information that speaks volumes.  For example, SDG&amp;E has not indicated whether the capacity release transaction information posted by the interstate pipelines serving California reflects the short term release of capacity at rates above the maximum.  ENA has undertaken a review of secondary capacity releases into California and has determined that there are few, if any, releases at above maximum rates at this time, as all firm capacity holders are utilizing the capacity themselves. </w:t>
      </w:r>
      <w:r>
        <w:rPr>
          <w:lang w:eastAsia="en-US"/>
        </w:rPr>
        <w:t xml:space="preserve">Transwestern Pipeline Company had 11 releases during the period from November 15 to December 15, 2000.  None were above the maximum rate.  All were at the max imum rate.  El Paso Natural Gas Company had several dozen releases during this period in the CA zone.  All but five are listed as straight maximum rate deals.  Five have fixed rates which are within +/- 1 cent of the maximum rate (assumably for surcharge related reasons).  </w:t>
      </w:r>
      <w:r>
        <w:rPr/>
        <w:t xml:space="preserve"> Further, SDG&amp;E does not discuss its own or other California LDCs’ longer-term fixed price purchases, storage position, injections and withdrawals, or financial hedge positions in comparison to its monthly spot purchases and how these factors impact the situation. This summer, SDG&amp;E had ample opportunity, and interstate capacity, to deliver and inject gas into storage.  It did not do so. Nor does SDG&amp;E indicate whether it or other California LDCs are selling gas into the market or how they are utilizing their own interstate capacity.  Further, SDG&amp;E’s affiliates, Sempra Energy and Southern California Gas Company, opposed the expansion of interstate pipeline capacity into California proposed by Transwestern Pipeline Company.  </w:t>
      </w:r>
      <w:r>
        <w:rPr>
          <w:b/>
          <w:i/>
        </w:rPr>
        <w:t>See</w:t>
      </w:r>
      <w:r>
        <w:rPr/>
        <w:t xml:space="preserve"> Request for Rehearing filed February 11, 2000 in Docket No. CP99-522-000.   </w:t>
      </w:r>
    </w:p>
    <w:p>
      <w:pPr>
        <w:pStyle w:val="Normal"/>
        <w:widowControl/>
        <w:spacing w:lineRule="auto" w:line="480"/>
        <w:ind w:firstLine="720" w:end="0"/>
        <w:jc w:val="both"/>
        <w:rPr/>
      </w:pPr>
      <w:r>
        <w:rPr/>
        <w:t>LDCs generally purchase a mix of gas supplies at varying terms and price.  They have access to regulatory mechanisms to pass increased costs through to their customers.  They also have access to financial tools such as hedges and physical tools such as storage and fixed-price contracts to manage price risk.  SDG&amp;E’s pricing concerns are more related to  other factors, such as LDC purchasing practices, the storage situation in California, the electric generation problems in that state and retail gas pricing mechanisms (all beyond the Commission's purview), than the capacity release rules. SDG&amp;E has shown no direct correlation between the lifting of secondary market price caps in Order No. 637 and the current spot market prices in California.</w:t>
      </w:r>
    </w:p>
    <w:p>
      <w:pPr>
        <w:pStyle w:val="Normal"/>
        <w:widowControl/>
        <w:spacing w:lineRule="auto" w:line="480"/>
        <w:ind w:firstLine="720" w:end="0"/>
        <w:jc w:val="both"/>
        <w:rPr/>
      </w:pPr>
      <w:r>
        <w:rPr/>
        <w:t>SDG&amp;E, as applicant, bears a significant burden to present facts in support of its position. It has failed to make a case that suspending shippers’ ability to exceed the as-billed rates for the short-term release of capacity or short-term pipeline capacity sales will result in lower border prices in California.  ENA submits that the problems SDG&amp;E alleges have more to do with the lack of hedging and the failure to inject gas into storage this summer than to secondary capacity costs or current commodity prices.</w:t>
      </w:r>
    </w:p>
    <w:p>
      <w:pPr>
        <w:pStyle w:val="Normal"/>
        <w:widowControl/>
        <w:spacing w:lineRule="auto" w:line="480" w:before="120" w:after="0"/>
        <w:jc w:val="both"/>
        <w:rPr/>
      </w:pPr>
      <w:r>
        <w:rPr/>
        <w:t>3.</w:t>
        <w:tab/>
        <w:t xml:space="preserve">SDG&amp;E misapprehends the test for workably competitive markets.  The natural gas transportation market, by definition, is workably competitive.  Unlike the power markets, in which many electric utilities are not full open access and still exercise considerable market power, interstate pipelines are fully open access. Long-term firm capacity into California was available this year, and shorter term deals are available in the secondary market.  Numerous buyers and sellers actively participate in the California border market, selling natural gas and pipeline capacity at market sensitive prices.  Clearly, there is a demand for spot gas in California at the prices being paid by certain purchasers.   The mere fact that the market produces spot prices that are higher than those which may have been planned for by SDG&amp;E or are higher that SDG&amp;E may wish to pay under ideal circumstances (or because other customers in California place a higher value on gas than SDG&amp;E would prefer) does not mean that the market is not workably competitive.  The opposite is true; it shows that supply and demand will find the right balance.  Nor does it lead to the conclusion that the Commission should re-impose price caps in the short term secondary markets or otherwise abandon its paramount faith in the marketplace and reverse the position it took only a few short months ago in Order No. 637.  </w:t>
      </w:r>
    </w:p>
    <w:p>
      <w:pPr>
        <w:pStyle w:val="BodyText"/>
        <w:spacing w:before="120" w:after="0"/>
        <w:rPr/>
      </w:pPr>
      <w:r>
        <w:rPr/>
        <w:t>4.</w:t>
        <w:tab/>
        <w:t xml:space="preserve">ENA submits that the best remedy is to let the markets work. The fundamental problem facing California’s natural gas markets is the same problem facing California’s electricity markets – demand is significantly outstripping available supply.  One way to facilitate that market response would be to provide real-time pricing information to consumers so they can act on those prices.  Most LDC customers will not see the impact of current prices for weeks or months, and thus they are not in a position to react to higher prices until it is too late.   In California, very few customers, and those are generally only the large industrial users, are seeing the results of $40 per MMBtu gas right now.  The spot market has many players, including   electric generators.  If unhedged, these generators are willing to pay high prices for natural gas because they need the gas to generate electricity when scarcity exists. The first of the month price for 30 day deals in December was approximately $14 per MMBtu, not $40 or $50. Consequently, market signals to consumers are lacking and therefore they do not have adequate information about the need to conserve or otherwise alter consumption patterns. As a result, demand stays persistently high and prices rise to meet that demand.  When market signals are transmitted properly to all customers in close to real time, customers can react accordingly and supply and demand will adjust.  Proper transmission of market signals to retail consumers is a critical component to a well-functioning market and this is in the province of the state regulators, not the Commission. </w:t>
      </w:r>
    </w:p>
    <w:p>
      <w:pPr>
        <w:pStyle w:val="Normal"/>
        <w:widowControl/>
        <w:spacing w:lineRule="auto" w:line="480" w:before="120" w:after="0"/>
        <w:jc w:val="both"/>
        <w:rPr/>
      </w:pPr>
      <w:r>
        <w:rPr/>
        <w:t>5.</w:t>
        <w:tab/>
        <w:t>Price caps such as the bundled sales cap proposed by SDG&amp;E will have the opposite impact on market prices from that sought by SDG&amp;E.  One of two things will occur if SDG&amp;E pervails. The commodity will go to other markets that place a higher value on gas or the California market will find ways to circumvent the new caps, which is easily accomplished. Assume a $10 wellhead index price.  If a seller is limited to a $15 sales price at the California border or city gate (150%), as soon as the producer or other first seller can capture a higher price in another market, the gas will not flow to California and consumers will be faced with shortage that cannot be remedied by higher prices due to a cap.  Price caps simply do not work, as the California ISO experience aptly illustrates.</w:t>
      </w:r>
    </w:p>
    <w:p>
      <w:pPr>
        <w:pStyle w:val="Normal"/>
        <w:widowControl/>
        <w:spacing w:lineRule="auto" w:line="480"/>
        <w:ind w:firstLine="720" w:end="0"/>
        <w:jc w:val="both"/>
        <w:rPr/>
      </w:pPr>
      <w:r>
        <w:rPr/>
        <w:t>In addition, the marketplace would find a way around either the secondary market cap or the 150% price cap. There would be no change in the prices paid by LDCs or others in California.  The only change would be the identity of the party that captures the economic rent.  Current prices reflect the current spot demand for natural gas and that demand will not abate in the absence of accurate market signals.  Producers (which are first sellers and thus not subject to Natural Gas Act sale for resale jurisdiction) could force the market to move to the wellhead and to pay a price equal to the California border price less the cost of transportation.  If there is demand for $50 gas in California, first sellers will satisfy that demand without regard to any cap imposed by the Commission on other sellers.  Thus, the remedies proposed by SDG&amp;E will not correct the market pricing anomalies it alleges.</w:t>
      </w:r>
    </w:p>
    <w:p>
      <w:pPr>
        <w:pStyle w:val="Normal"/>
        <w:widowControl/>
        <w:spacing w:lineRule="auto" w:line="480" w:before="120" w:after="0"/>
        <w:jc w:val="both"/>
        <w:rPr/>
      </w:pPr>
      <w:r>
        <w:rPr/>
        <w:t>6.</w:t>
        <w:tab/>
        <w:t>The Commission does not have legal authority to impose price caps which impose "backdoor" regulation on wellhead sales (or first sales).  Congress has decontrolled wellhead natural gas prices (and first sales of natural gas) in the Natural Gas Policy Act of 1978 ("NGPA") and the Natural Gas Wellhead Decontrol Act of 1989 ("Decontrol Act").  The Commission cannot use its authority over transportation of natural gas in interstate commerce under Section 4 of the Natural Gas Act indirectly to regulate wellhead prices (or first sale prices).</w:t>
      </w:r>
      <w:r>
        <w:rPr>
          <w:rStyle w:val="FootnoteCharacters"/>
          <w:rStyle w:val="FootnoteReference"/>
          <w:vertAlign w:val="superscript"/>
        </w:rPr>
        <w:footnoteReference w:id="3"/>
      </w:r>
      <w:r>
        <w:rPr/>
        <w:t xml:space="preserve">  </w:t>
      </w:r>
    </w:p>
    <w:p>
      <w:pPr>
        <w:pStyle w:val="Normal"/>
        <w:widowControl/>
        <w:spacing w:lineRule="auto" w:line="480"/>
        <w:ind w:firstLine="720" w:end="0"/>
        <w:jc w:val="both"/>
        <w:rPr/>
      </w:pPr>
      <w:r>
        <w:rPr/>
        <w:t xml:space="preserve">SDG&amp;E is asking the Commission to exercise its Natural Gas Act blanket certificate authority to condition the interstate transportation of natural gas in a way that indirectly regulates the price of natural gas at the wellhead.  Many major non-producer sellers of natural gas in the United States, including ENA, do not make "first sales" under Section 2(21) of the NGPA because they are affiliated with interstate pipelines, intrastate pipelines or local distribution companies.  However, if the price these sellers can receive from customers is capped, as SDG&amp;E suggests, the sellers, in turn, would artificially restrict the amount they pay to producers or other first sellers.  The Commission declined to indirectly regulate wellhead prices through the interstate pipeline passthrough mechanism in the mid-1980s  and it should not do so now through otherwise unregulated (or lightly regulated) entities.  </w:t>
      </w:r>
    </w:p>
    <w:p>
      <w:pPr>
        <w:pStyle w:val="Normal"/>
        <w:widowControl/>
        <w:spacing w:lineRule="auto" w:line="480"/>
        <w:ind w:firstLine="720" w:end="0"/>
        <w:jc w:val="both"/>
        <w:rPr/>
      </w:pPr>
      <w:r>
        <w:rPr/>
        <w:t xml:space="preserve">In addition, the last seller of gas to an end user is not making a jurisdictional “sale for resale in interstate commerce under the Natural Gas Act.”  The Commission has no jurisdiction to set a commodity price cap for direct sales.  As a result, if the Commission applies a 150% price cap only to sales for resale, gas will flow first in direct sales to end users who are willing to pay the highest prices.  (Similarly a capacity cost cap will be ineffective with respect to bundled direct sales.)  Again, SDG&amp;E and other LDCs may not be able to acquire all the gas they need at the capped price. </w:t>
      </w:r>
    </w:p>
    <w:p>
      <w:pPr>
        <w:pStyle w:val="BodyText2"/>
        <w:jc w:val="both"/>
        <w:rPr/>
      </w:pPr>
      <w:r>
        <w:rPr/>
        <w:t xml:space="preserve">The proposal to report bundled commodity and capacity costs separately serves no legitimate purpose.  Capacity cost information is available on the interstate pipeline EBBs.  Commodity pricing information is readily available in many forms.   Requiring the last seller to report its commodity and capacity price is unlikely to provide the Commission with any useful information because it will not capture the prices paid to intermediate sellers.  </w:t>
      </w:r>
    </w:p>
    <w:p>
      <w:pPr>
        <w:pStyle w:val="Normal"/>
        <w:widowControl/>
        <w:spacing w:lineRule="auto" w:line="480" w:before="120" w:after="0"/>
        <w:jc w:val="center"/>
        <w:rPr>
          <w:b/>
          <w:u w:val="single"/>
        </w:rPr>
      </w:pPr>
      <w:r>
        <w:rPr>
          <w:b/>
          <w:u w:val="single"/>
        </w:rPr>
        <w:t>CONCLUSION</w:t>
      </w:r>
    </w:p>
    <w:p>
      <w:pPr>
        <w:pStyle w:val="Normal"/>
        <w:widowControl/>
        <w:spacing w:lineRule="auto" w:line="480" w:before="120" w:after="0"/>
        <w:ind w:firstLine="720" w:end="0"/>
        <w:jc w:val="both"/>
        <w:rPr/>
      </w:pPr>
      <w:r>
        <w:rPr/>
        <w:t xml:space="preserve">When the Commission decided to lift the price cap on certain secondary market transactions in Order No. 637, it specifically did so for a period of time long enough to provide sufficient data to determine whether the market was competitive enough to move away from traditional rate regulation.      The relatively short period of high prices we are experiencing will likely take care of itself, proving that the markets do work.  But if the Commission does not resist the temptation to take radical approaches, such as imposing regulation on previously unregulated gas marketers, based on short-term market indicators and a dearth of facts alleged by SDG&amp;E, we will never have the proof that the forces of supply and demand will seek a proper balance.  Even if the lifting of the cap on secondary market capacity </w:t>
      </w:r>
      <w:r>
        <w:rPr>
          <w:i/>
        </w:rPr>
        <w:t xml:space="preserve">contributed </w:t>
      </w:r>
      <w:r>
        <w:rPr/>
        <w:t xml:space="preserve">to the current spot prices in California -- which should be easily determined by reviewing those deals on the pipelines’ EBBs -- it is only one of </w:t>
      </w:r>
      <w:r>
        <w:rPr>
          <w:i/>
        </w:rPr>
        <w:t>many</w:t>
      </w:r>
      <w:r>
        <w:rPr/>
        <w:t xml:space="preserve"> causes. Reimposing the cap, or otherwise imposing price regulation on sellers of gas, ignores the fact that competitive markets over the long term will result in ample supplies at market-clearing prices.  To interfere with that equation is to beg for more shortages and higher prices in the long run.  This will make matters worse for California, not better, as California’s experience with electricity price caps has demonstrated.</w:t>
      </w:r>
    </w:p>
    <w:p>
      <w:pPr>
        <w:pStyle w:val="Normal"/>
        <w:widowControl/>
        <w:spacing w:lineRule="auto" w:line="480"/>
        <w:ind w:firstLine="720" w:end="0"/>
        <w:jc w:val="both"/>
        <w:rPr/>
      </w:pPr>
      <w:r>
        <w:rPr/>
        <w:t>ENA submits that SDG&amp;E has not demonstrated that its proposals are necessary or that its suggested remedies will effectively address the pricing problem it has identified.  The Commission should continue to monitor the markets, as promised in Order No. 637, but should take a longer term view and not step into the present situation in the manner proposed by SDG&amp;E.   SDG&amp;E's proposal is not in the public interest.</w:t>
      </w:r>
    </w:p>
    <w:p>
      <w:pPr>
        <w:pStyle w:val="Normal"/>
        <w:widowControl/>
        <w:spacing w:lineRule="auto" w:line="480"/>
        <w:ind w:firstLine="5040" w:end="0"/>
        <w:jc w:val="both"/>
        <w:rPr/>
      </w:pPr>
      <w:r>
        <w:rPr/>
        <w:t xml:space="preserve">Respectfully submitted, </w:t>
      </w:r>
    </w:p>
    <w:p>
      <w:pPr>
        <w:pStyle w:val="Normal"/>
        <w:widowControl/>
        <w:ind w:firstLine="5040" w:end="0"/>
        <w:jc w:val="both"/>
        <w:rPr/>
      </w:pPr>
      <w:r>
        <w:rPr/>
        <w:t>_______________________</w:t>
      </w:r>
    </w:p>
    <w:p>
      <w:pPr>
        <w:pStyle w:val="Normal"/>
        <w:widowControl/>
        <w:jc w:val="both"/>
        <w:rPr/>
      </w:pPr>
      <w:r>
        <w:rPr/>
        <w:t>Leslie J. Lawner</w:t>
        <w:tab/>
        <w:tab/>
        <w:tab/>
        <w:tab/>
        <w:tab/>
        <w:t>Randall S. Rich</w:t>
      </w:r>
    </w:p>
    <w:p>
      <w:pPr>
        <w:pStyle w:val="Normal"/>
        <w:widowControl/>
        <w:jc w:val="both"/>
        <w:rPr/>
      </w:pPr>
      <w:r>
        <w:rPr/>
        <w:t>Enron Corp.</w:t>
        <w:tab/>
        <w:tab/>
        <w:tab/>
        <w:tab/>
        <w:tab/>
        <w:tab/>
        <w:t>Bracewell &amp; Patterson, L.L.P.</w:t>
      </w:r>
    </w:p>
    <w:p>
      <w:pPr>
        <w:sectPr>
          <w:footerReference w:type="default" r:id="rId2"/>
          <w:footnotePr>
            <w:numFmt w:val="decimal"/>
          </w:footnotePr>
          <w:type w:val="nextPage"/>
          <w:pgSz w:w="12240" w:h="15840"/>
          <w:pgMar w:left="1440" w:right="1440" w:gutter="0" w:header="0" w:top="1440" w:footer="720" w:bottom="1440"/>
          <w:pgNumType w:fmt="decimal"/>
          <w:formProt w:val="false"/>
          <w:textDirection w:val="lrTb"/>
          <w:docGrid w:type="default" w:linePitch="360" w:charSpace="0"/>
        </w:sectPr>
      </w:pPr>
    </w:p>
    <w:p>
      <w:pPr>
        <w:pStyle w:val="Normal"/>
        <w:widowControl/>
        <w:jc w:val="both"/>
        <w:rPr/>
      </w:pPr>
      <w:r>
        <w:rPr/>
        <w:t>712 North Lea Street</w:t>
        <w:tab/>
        <w:tab/>
        <w:tab/>
        <w:tab/>
        <w:tab/>
        <w:t>2000 K Street, NW</w:t>
      </w:r>
    </w:p>
    <w:p>
      <w:pPr>
        <w:pStyle w:val="Normal"/>
        <w:widowControl/>
        <w:jc w:val="both"/>
        <w:rPr/>
      </w:pPr>
      <w:r>
        <w:rPr/>
        <w:t>Roswell, NM 88201</w:t>
        <w:tab/>
        <w:tab/>
        <w:tab/>
        <w:tab/>
        <w:tab/>
        <w:t>Washington, DC 20006</w:t>
      </w:r>
    </w:p>
    <w:p>
      <w:pPr>
        <w:pStyle w:val="Normal"/>
        <w:widowControl/>
        <w:jc w:val="both"/>
        <w:rPr/>
      </w:pPr>
      <w:r>
        <w:rPr/>
        <w:t>(505) 623-6778</w:t>
        <w:tab/>
        <w:tab/>
        <w:tab/>
        <w:tab/>
        <w:tab/>
        <w:t>(202) 828-5879</w:t>
      </w:r>
    </w:p>
    <w:p>
      <w:pPr>
        <w:pStyle w:val="Normal"/>
        <w:widowControl/>
        <w:jc w:val="both"/>
        <w:rPr/>
      </w:pPr>
      <w:r>
        <w:rPr/>
        <w:t>Fax: (505) 625-2820</w:t>
        <w:tab/>
        <w:tab/>
        <w:tab/>
        <w:tab/>
        <w:tab/>
        <w:t>Fax: (202) 857-2125</w:t>
      </w:r>
    </w:p>
    <w:p>
      <w:pPr>
        <w:pStyle w:val="Normal"/>
        <w:widowControl/>
        <w:jc w:val="both"/>
        <w:rPr/>
      </w:pPr>
      <w:r>
        <w:rPr/>
        <w:t>llawner@enron.com</w:t>
        <w:tab/>
        <w:tab/>
        <w:tab/>
        <w:tab/>
        <w:tab/>
      </w:r>
      <w:r>
        <w:rPr>
          <w:rStyle w:val="Hypertext"/>
          <w:color w:val="000000"/>
          <w:u w:val="none"/>
        </w:rPr>
        <w:t>rrich@bracepatt.com</w:t>
      </w:r>
    </w:p>
    <w:p>
      <w:pPr>
        <w:pStyle w:val="Normal"/>
        <w:widowControl/>
        <w:jc w:val="both"/>
        <w:rPr/>
      </w:pPr>
      <w:r>
        <w:rPr/>
      </w:r>
    </w:p>
    <w:p>
      <w:pPr>
        <w:pStyle w:val="Normal"/>
        <w:widowControl/>
        <w:ind w:firstLine="5040" w:end="0"/>
        <w:jc w:val="both"/>
        <w:rPr/>
      </w:pPr>
      <w:r>
        <w:rPr/>
        <w:t>Attorneys for</w:t>
      </w:r>
    </w:p>
    <w:p>
      <w:pPr>
        <w:pStyle w:val="Normal"/>
        <w:widowControl/>
        <w:ind w:firstLine="5040" w:end="0"/>
        <w:jc w:val="both"/>
        <w:rPr>
          <w:b/>
        </w:rPr>
      </w:pPr>
      <w:r>
        <w:rPr>
          <w:b/>
        </w:rPr>
        <w:t>ENRON NORTH AMERICA CORP.</w:t>
      </w:r>
    </w:p>
    <w:p>
      <w:pPr>
        <w:pStyle w:val="Normal"/>
        <w:widowControl/>
        <w:jc w:val="both"/>
        <w:rPr/>
      </w:pPr>
      <w:r>
        <w:rPr/>
      </w:r>
    </w:p>
    <w:p>
      <w:pPr>
        <w:pStyle w:val="Normal"/>
        <w:widowControl/>
        <w:jc w:val="both"/>
        <w:rPr/>
      </w:pPr>
      <w:r>
        <w:rPr/>
      </w:r>
    </w:p>
    <w:p>
      <w:pPr>
        <w:pStyle w:val="Normal"/>
        <w:widowControl/>
        <w:jc w:val="both"/>
        <w:rPr/>
      </w:pPr>
      <w:r>
        <w:rPr/>
        <w:t>December 13, 2000</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sz w:val="16"/>
        </w:rPr>
      </w:pPr>
      <w:r>
        <w:rPr>
          <w:sz w:val="16"/>
        </w:rPr>
        <w:t>135448.3</w:t>
      </w:r>
    </w:p>
    <w:sectPr>
      <w:footnotePr>
        <w:numFmt w:val="decimal"/>
      </w:footnotePr>
      <w:type w:val="continuous"/>
      <w:pgSz w:w="12240" w:h="15840"/>
      <w:pgMar w:left="1440" w:right="1440" w:gutter="0" w:header="0" w:top="1440"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s>
      <w:jc w:val="both"/>
      <w:rPr/>
    </w:pPr>
    <w:r>
      <w:rPr/>
      <w:tab/>
      <w:t>-</w:t>
    </w:r>
    <w:r>
      <w:rPr/>
      <w:fldChar w:fldCharType="begin"/>
    </w:r>
    <w:r>
      <w:rPr/>
      <w:instrText xml:space="preserve"> PAGE </w:instrText>
    </w:r>
    <w:r>
      <w:rPr/>
      <w:fldChar w:fldCharType="separate"/>
    </w:r>
    <w:r>
      <w:rPr/>
      <w:t>11</w:t>
    </w:r>
    <w:r>
      <w:rPr/>
      <w:fldChar w:fldCharType="end"/>
    </w:r>
    <w:r>
      <w:rPr/>
      <w:t>-</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jc w:val="both"/>
        <w:rPr/>
      </w:pPr>
      <w:r>
        <w:rPr>
          <w:rStyle w:val="FootnoteCharacters"/>
        </w:rPr>
        <w:footnoteRef/>
      </w:r>
      <w:r>
        <w:rPr/>
        <w:tab/>
        <w:t xml:space="preserve">On December 13, 2000, ENA filed a motion to intervene in this proceeding under separate cover.  That motion to intervene describes ENA and sets forth ENA's substantial interest in the outcome of this proceeding. </w:t>
      </w:r>
    </w:p>
  </w:footnote>
  <w:footnote w:id="3">
    <w:p>
      <w:pPr>
        <w:pStyle w:val="Normal"/>
        <w:spacing w:before="0" w:after="240"/>
        <w:ind w:firstLine="720" w:end="0"/>
        <w:jc w:val="both"/>
        <w:rPr/>
      </w:pPr>
      <w:r>
        <w:rPr>
          <w:rStyle w:val="FootnoteCharacters"/>
        </w:rPr>
        <w:footnoteRef/>
      </w:r>
      <w:r>
        <w:rPr/>
        <w:tab/>
        <w:t xml:space="preserve">The Commission has recognized, in defining the standards for natural gas cost passthrough under the NGPA (and concluding that "the fraud standard could not be used as a 'backdoor' method of regulating otherwise deregulated wellhead natural gas prices"), that it "must allow gas pricing provisions under the NGPA to operate as Congress established them, even if that operation is not economically optimal in light of events occurring since the passage of the NGPA." Statement of Policy, </w:t>
      </w:r>
      <w:r>
        <w:rPr>
          <w:i/>
        </w:rPr>
        <w:t>Fraud Standard in Section 601(c)(2) of the NGPA</w:t>
      </w:r>
      <w:r>
        <w:rPr/>
        <w:t xml:space="preserve">, </w:t>
      </w:r>
      <w:r>
        <w:rPr>
          <w:i/>
        </w:rPr>
        <w:t>FERC Statutes and Regulations</w:t>
      </w:r>
      <w:r>
        <w:rPr/>
        <w:t xml:space="preserve"> ¶30,336 at 30,104</w:t>
      </w:r>
      <w:r>
        <w:rPr>
          <w:i/>
        </w:rPr>
        <w:t xml:space="preserve"> </w:t>
      </w:r>
      <w:r>
        <w:rPr/>
        <w:t xml:space="preserve">(1982) (footnote omitted).  </w:t>
      </w:r>
      <w:r>
        <w:rPr>
          <w:b/>
          <w:i/>
        </w:rPr>
        <w:t>See also, Office of Consumers’ Counsel v.  FERC</w:t>
      </w:r>
      <w:r>
        <w:rPr/>
        <w:t>, 783 F.2d 206 (D.C. Circuit 1986). ("While under certain circumstances payment of prices above the market-clearing level may be abusive, if this principle were adopted as a general rule it would eviscerate the price deregulation mandated by section 121(b) of the NGPA, 15 U.S.C. §3331(b) (1982), and the authority granted FERC to raise certain ceiling prices, 15 U.S.C. §3317(b) (1982).")</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mirrorMargins/>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spacing w:lineRule="auto" w:line="480"/>
      <w:jc w:val="center"/>
      <w:outlineLvl w:val="0"/>
    </w:pPr>
    <w:rPr>
      <w:b/>
      <w:u w:val="single"/>
    </w:rPr>
  </w:style>
  <w:style w:type="paragraph" w:styleId="Heading2">
    <w:name w:val="heading 2"/>
    <w:basedOn w:val="Normal"/>
    <w:next w:val="Normal"/>
    <w:qFormat/>
    <w:pPr>
      <w:keepNext w:val="true"/>
      <w:widowControl/>
      <w:numPr>
        <w:ilvl w:val="1"/>
        <w:numId w:val="1"/>
      </w:numPr>
      <w:spacing w:lineRule="auto" w:line="480"/>
      <w:ind w:firstLine="720" w:start="0" w:end="0"/>
      <w:jc w:val="center"/>
      <w:outlineLvl w:val="1"/>
    </w:pPr>
    <w:rPr>
      <w:b/>
      <w:u w:val="single"/>
    </w:rPr>
  </w:style>
  <w:style w:type="character" w:styleId="WW8Num1z0">
    <w:name w:val="WW8Num1z0"/>
    <w:qFormat/>
    <w:rPr/>
  </w:style>
  <w:style w:type="character" w:styleId="DefaultParagraphFont">
    <w:name w:val="Default Paragraph Font"/>
    <w:qFormat/>
    <w:rPr/>
  </w:style>
  <w:style w:type="character" w:styleId="FootnoteCharacters">
    <w:name w:val="Footnote Characters"/>
    <w:qFormat/>
    <w:rPr/>
  </w:style>
  <w:style w:type="character" w:styleId="Hypertext">
    <w:name w:val="Hypertext"/>
    <w:qForma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BodyText2">
    <w:name w:val="Body Text 2"/>
    <w:basedOn w:val="Normal"/>
    <w:qFormat/>
    <w:pPr>
      <w:widowControl/>
      <w:spacing w:lineRule="auto" w:line="480" w:before="120" w:after="0"/>
      <w:jc w:val="cente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2000-12-13T18:31:00Z</dcterms:created>
  <dc:creator>rebecca cantrel</dc:creator>
  <dc:description/>
  <dc:language>en-CA</dc:language>
  <cp:lastModifiedBy>Bracewell &amp; Patterson, LLP</cp:lastModifiedBy>
  <cp:lastPrinted>2000-12-13T08:49:00Z</cp:lastPrinted>
  <dcterms:modified xsi:type="dcterms:W3CDTF">2000-12-13T18:31:00Z</dcterms:modified>
  <cp:revision>2</cp:revision>
  <dc:subject/>
  <dc:title/>
</cp:coreProperties>
</file>