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8"/>
          <w:szCs w:val="28"/>
        </w:rPr>
      </w:pPr>
      <w:r>
        <w:rPr>
          <w:sz w:val="28"/>
          <w:szCs w:val="28"/>
        </w:rPr>
      </w:r>
    </w:p>
    <w:p>
      <w:pPr>
        <w:pStyle w:val="Normal"/>
        <w:widowControl/>
        <w:jc w:val="center"/>
        <w:rPr/>
      </w:pPr>
      <w:r>
        <w:rPr>
          <w:sz w:val="28"/>
          <w:szCs w:val="28"/>
        </w:rPr>
        <w:t>A</w:t>
      </w:r>
      <w:r>
        <w:rPr>
          <w:b/>
          <w:bCs/>
          <w:sz w:val="28"/>
          <w:szCs w:val="28"/>
        </w:rPr>
        <w:t xml:space="preserve"> Model Review: Enron’s Natural Gas Storage Valuation Model</w:t>
      </w:r>
    </w:p>
    <w:p>
      <w:pPr>
        <w:pStyle w:val="Normal"/>
        <w:widowControl/>
        <w:jc w:val="center"/>
        <w:rPr>
          <w:b/>
          <w:bCs/>
          <w:sz w:val="28"/>
          <w:szCs w:val="28"/>
        </w:rPr>
      </w:pPr>
      <w:r>
        <w:rPr>
          <w:b/>
          <w:bCs/>
          <w:sz w:val="28"/>
          <w:szCs w:val="28"/>
        </w:rPr>
      </w:r>
    </w:p>
    <w:p>
      <w:pPr>
        <w:pStyle w:val="Normal"/>
        <w:widowControl/>
        <w:jc w:val="center"/>
        <w:rPr>
          <w:b/>
          <w:bCs/>
          <w:sz w:val="28"/>
          <w:szCs w:val="28"/>
        </w:rPr>
      </w:pPr>
      <w:r>
        <w:rPr>
          <w:b/>
          <w:bCs/>
          <w:sz w:val="28"/>
          <w:szCs w:val="28"/>
        </w:rPr>
        <w:t>Darrell Duffie</w:t>
      </w:r>
    </w:p>
    <w:p>
      <w:pPr>
        <w:pStyle w:val="Normal"/>
        <w:widowControl/>
        <w:jc w:val="center"/>
        <w:rPr>
          <w:b/>
          <w:bCs/>
          <w:sz w:val="28"/>
          <w:szCs w:val="28"/>
        </w:rPr>
      </w:pPr>
      <w:r>
        <w:rPr>
          <w:b/>
          <w:bCs/>
          <w:sz w:val="28"/>
          <w:szCs w:val="28"/>
        </w:rPr>
      </w:r>
    </w:p>
    <w:p>
      <w:pPr>
        <w:pStyle w:val="Normal"/>
        <w:widowControl/>
        <w:jc w:val="center"/>
        <w:rPr>
          <w:b/>
          <w:bCs/>
          <w:sz w:val="28"/>
          <w:szCs w:val="28"/>
        </w:rPr>
      </w:pPr>
      <w:r>
        <w:rPr>
          <w:b/>
          <w:bCs/>
          <w:sz w:val="28"/>
          <w:szCs w:val="28"/>
        </w:rPr>
        <w:t>June 1, 2000</w:t>
      </w:r>
    </w:p>
    <w:p>
      <w:pPr>
        <w:pStyle w:val="Normal"/>
        <w:widowControl/>
        <w:jc w:val="center"/>
        <w:rPr>
          <w:b/>
          <w:bCs/>
          <w:sz w:val="28"/>
          <w:szCs w:val="28"/>
        </w:rPr>
      </w:pPr>
      <w:r>
        <w:rPr>
          <w:b/>
          <w:bCs/>
          <w:sz w:val="28"/>
          <w:szCs w:val="28"/>
        </w:rPr>
      </w:r>
    </w:p>
    <w:p>
      <w:pPr>
        <w:pStyle w:val="Normal"/>
        <w:widowControl/>
        <w:jc w:val="center"/>
        <w:rPr>
          <w:b/>
          <w:bCs/>
          <w:sz w:val="28"/>
          <w:szCs w:val="28"/>
        </w:rPr>
      </w:pPr>
      <w:r>
        <w:rPr>
          <w:b/>
          <w:bCs/>
          <w:sz w:val="28"/>
          <w:szCs w:val="28"/>
        </w:rPr>
        <w:t>Client: Enron Research</w:t>
      </w:r>
    </w:p>
    <w:p>
      <w:pPr>
        <w:pStyle w:val="Normal"/>
        <w:widowControl/>
        <w:jc w:val="center"/>
        <w:rPr/>
      </w:pPr>
      <w:r>
        <w:rPr>
          <w:b/>
          <w:bCs/>
          <w:sz w:val="28"/>
          <w:szCs w:val="28"/>
        </w:rPr>
        <w:t xml:space="preserve">Name </w:t>
      </w:r>
      <w:r>
        <w:rPr>
          <w:sz w:val="28"/>
          <w:szCs w:val="28"/>
        </w:rPr>
        <w:t>of t</w:t>
      </w:r>
      <w:r>
        <w:rPr>
          <w:sz w:val="24"/>
          <w:szCs w:val="24"/>
        </w:rPr>
        <w:t>he model: SAM</w:t>
      </w:r>
    </w:p>
    <w:p>
      <w:pPr>
        <w:pStyle w:val="Normal"/>
        <w:widowControl/>
        <w:jc w:val="end"/>
        <w:rPr/>
      </w:pPr>
      <w:r>
        <w:rPr>
          <w:sz w:val="24"/>
          <w:szCs w:val="24"/>
        </w:rPr>
        <w:t>Purpose of the</w:t>
      </w:r>
      <w:r>
        <w:rPr>
          <w:sz w:val="28"/>
          <w:szCs w:val="28"/>
        </w:rPr>
        <w:t xml:space="preserve"> m</w:t>
      </w:r>
      <w:r>
        <w:rPr/>
        <w:t>odel: Valuation of natural gas storage</w:t>
      </w:r>
    </w:p>
    <w:p>
      <w:pPr>
        <w:pStyle w:val="Normal"/>
        <w:widowControl/>
        <w:rPr/>
      </w:pPr>
      <w:r>
        <w:rPr/>
        <w:t xml:space="preserve">Form of implementation: Excel worksheet “sam_audit.xls” and external dynamic link library “sam_audit.dll” </w:t>
      </w:r>
    </w:p>
    <w:p>
      <w:pPr>
        <w:pStyle w:val="Normal"/>
        <w:widowControl/>
        <w:rPr/>
      </w:pPr>
      <w:r>
        <w:rPr/>
        <w:t xml:space="preserve">Reviewed materials: The supplemental document “sam.doc” </w:t>
      </w:r>
    </w:p>
    <w:p>
      <w:pPr>
        <w:pStyle w:val="Normal"/>
        <w:widowControl/>
        <w:rPr/>
      </w:pPr>
      <w:r>
        <w:rPr/>
      </w:r>
    </w:p>
    <w:p>
      <w:pPr>
        <w:pStyle w:val="Normal"/>
        <w:widowControl/>
        <w:rPr/>
      </w:pPr>
      <w:r>
        <w:rPr/>
        <w:t>SUMMARY</w:t>
      </w:r>
    </w:p>
    <w:p>
      <w:pPr>
        <w:pStyle w:val="Normal"/>
        <w:widowControl/>
        <w:ind w:start="720" w:end="0"/>
        <w:jc w:val="both"/>
        <w:rPr/>
      </w:pPr>
      <w:r>
        <w:rPr/>
        <w:tab/>
        <w:t>The proposed spot price model for natural gas seems to sufficiently capture both the rich volatility information of the forward prices as well as seasonal variation. Although there do not exist apparent theoretical flaws in the proposed model, one might consider more tractable Markov spot price models with at most two state variables as possible</w:t>
      </w:r>
      <w:r>
        <w:rPr>
          <w:b/>
          <w:bCs/>
          <w:sz w:val="24"/>
          <w:szCs w:val="24"/>
        </w:rPr>
        <w:t xml:space="preserve"> alternatives. I</w:t>
      </w:r>
      <w:r>
        <w:rPr>
          <w:sz w:val="24"/>
          <w:szCs w:val="24"/>
        </w:rPr>
        <w:t>n such Markov models, convenience yield processes are used to express the seasonal variation of the spot prices. In this review, we make several comments on the proposed dynamic recursion for gas storage valuation. Specifically, we discuss the issues of constant discount rate and possible state space reduction. Finally, we show results of a few preliminary numerical tests of the model. The results show that (a) the storage capacity acceptable in the Enron’s model seems not sufficiently large for the state space reduction to be justified, but (b) a first-order approximation of the storage present value with respect to the (small) storage capacity may potentially be a good alternative.</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t>1.</w:t>
        <w:tab/>
        <w:t>The Spot Price Model</w:t>
      </w:r>
    </w:p>
    <w:p>
      <w:pPr>
        <w:pStyle w:val="Normal"/>
        <w:widowControl/>
        <w:jc w:val="both"/>
        <w:rPr>
          <w:sz w:val="24"/>
          <w:szCs w:val="24"/>
        </w:rPr>
      </w:pPr>
      <w:r>
        <w:rPr>
          <w:sz w:val="24"/>
          <w:szCs w:val="24"/>
        </w:rPr>
        <w:tab/>
        <w:tab/>
      </w:r>
    </w:p>
    <w:p>
      <w:pPr>
        <w:pStyle w:val="Normal"/>
        <w:widowControl/>
        <w:jc w:val="both"/>
        <w:rPr>
          <w:sz w:val="24"/>
          <w:szCs w:val="24"/>
        </w:rPr>
      </w:pPr>
      <w:r>
        <w:rPr>
          <w:sz w:val="24"/>
          <w:szCs w:val="24"/>
        </w:rPr>
        <w:t xml:space="preserve">According to the equation (3) on page 4 of the document (SAM.doc), the natural gas spot price St is modeled as the sum of the theoretical spot price F0t (“zeroth order spot price”) and the seasonal spread µ §. </w:t>
      </w:r>
    </w:p>
    <w:p>
      <w:pPr>
        <w:pStyle w:val="Normal"/>
        <w:widowControl/>
        <w:jc w:val="both"/>
        <w:rPr>
          <w:sz w:val="24"/>
          <w:szCs w:val="24"/>
        </w:rPr>
      </w:pPr>
      <w:r>
        <w:rPr>
          <w:sz w:val="24"/>
          <w:szCs w:val="24"/>
        </w:rPr>
        <w:t>The dynamics of the theoretical spot price F0t = F(t, t) are determined by a three-factor Heath-Jarrow-Morton model for forward prices F(t, T) with maturity from T = 1 month to 120 months. All of the forward prices are assumed to be martingales as if they are futures prices. Although not explicitly stated in the document, we assume that the martingale assumption on forward prices is justified by the lack of correlation between the short-term interest rates and the futures price of natural gas. In fact, the constant short-term interest rate is assumed in the model. It is reasonable to assume that short-term interest rates and future prices of energy in general have little correlation.</w:t>
      </w:r>
    </w:p>
    <w:p>
      <w:pPr>
        <w:pStyle w:val="Normal"/>
        <w:widowControl/>
        <w:jc w:val="both"/>
        <w:rPr>
          <w:sz w:val="24"/>
          <w:szCs w:val="24"/>
        </w:rPr>
      </w:pPr>
      <w:r>
        <w:rPr>
          <w:sz w:val="24"/>
          <w:szCs w:val="24"/>
        </w:rPr>
      </w:r>
    </w:p>
    <w:p>
      <w:pPr>
        <w:pStyle w:val="Normal"/>
        <w:widowControl/>
        <w:jc w:val="both"/>
        <w:rPr>
          <w:sz w:val="24"/>
          <w:szCs w:val="24"/>
        </w:rPr>
      </w:pPr>
      <w:r>
        <w:rPr>
          <w:sz w:val="24"/>
          <w:szCs w:val="24"/>
        </w:rPr>
        <w:t xml:space="preserve">In the following, we make several comments on points which are not necessarily clear in the document “sam.doc”, and suggest alternative methods whenever available. </w:t>
      </w:r>
    </w:p>
    <w:p>
      <w:pPr>
        <w:pStyle w:val="Normal"/>
        <w:widowControl/>
        <w:jc w:val="both"/>
        <w:rPr>
          <w:sz w:val="24"/>
          <w:szCs w:val="24"/>
        </w:rPr>
      </w:pPr>
      <w:r>
        <w:rPr>
          <w:sz w:val="24"/>
          <w:szCs w:val="24"/>
        </w:rPr>
      </w:r>
    </w:p>
    <w:p>
      <w:pPr>
        <w:pStyle w:val="Normal"/>
        <w:widowControl/>
        <w:jc w:val="both"/>
        <w:rPr>
          <w:sz w:val="24"/>
          <w:szCs w:val="24"/>
        </w:rPr>
      </w:pPr>
      <w:r>
        <w:rPr>
          <w:sz w:val="24"/>
          <w:szCs w:val="24"/>
        </w:rPr>
        <w:t>A.</w:t>
        <w:tab/>
        <w:t>Modeling Seasonal Variation</w:t>
      </w:r>
    </w:p>
    <w:p>
      <w:pPr>
        <w:pStyle w:val="Normal"/>
        <w:widowControl/>
        <w:jc w:val="both"/>
        <w:rPr>
          <w:sz w:val="24"/>
          <w:szCs w:val="24"/>
        </w:rPr>
      </w:pPr>
      <w:r>
        <w:rPr>
          <w:sz w:val="24"/>
          <w:szCs w:val="24"/>
        </w:rPr>
      </w:r>
    </w:p>
    <w:p>
      <w:pPr>
        <w:pStyle w:val="Normal"/>
        <w:widowControl/>
        <w:ind w:firstLine="720" w:end="0"/>
        <w:jc w:val="both"/>
        <w:rPr/>
      </w:pPr>
      <w:r>
        <w:rPr>
          <w:sz w:val="24"/>
          <w:szCs w:val="24"/>
        </w:rPr>
        <w:t>The seasonal spread µ § can be interpreted as the sum of the seasonality bias s and the short-term shockµ §, where (~N(0,1). While the document “sam.doc” explicitly shows how to compute (, it is only implicitly suggested tha</w:t>
      </w:r>
      <w:r>
        <w:rPr/>
        <w:t xml:space="preserve">t </w:t>
      </w:r>
      <w:r>
        <w:rPr>
          <w:b/>
          <w:bCs/>
          <w:sz w:val="24"/>
          <w:szCs w:val="24"/>
        </w:rPr>
        <w:t xml:space="preserve">s may be obtained by observing the difference </w:t>
      </w:r>
      <w:r>
        <w:rPr>
          <w:sz w:val="24"/>
          <w:szCs w:val="24"/>
        </w:rPr>
        <w:t>be</w:t>
      </w:r>
      <w:r>
        <w:rPr/>
        <w:t xml:space="preserve">tween </w:t>
      </w:r>
      <w:r>
        <w:rPr>
          <w:sz w:val="24"/>
          <w:szCs w:val="24"/>
        </w:rPr>
        <w:t>the historical spot prices and the theoretical spot prices F0t. At any rate, by an inspection of the excel worksheet “sam_audit.xls”, we find that seasonal bias values s for each month are</w:t>
      </w:r>
      <w:r>
        <w:rPr>
          <w:i/>
          <w:iCs/>
          <w:sz w:val="24"/>
          <w:szCs w:val="24"/>
        </w:rPr>
        <w:t xml:space="preserve"> (</w:t>
      </w:r>
      <w:r>
        <w:rPr>
          <w:i/>
          <w:iCs/>
          <w:sz w:val="24"/>
          <w:szCs w:val="24"/>
          <w:vertAlign w:val="subscript"/>
        </w:rPr>
        <w:t>se</w:t>
      </w:r>
      <w:r>
        <w:rPr>
          <w:sz w:val="24"/>
          <w:szCs w:val="24"/>
        </w:rPr>
        <w:t xml:space="preserve">emingly arbitrarily) set, with positive offsets in winter and negative offsets in summer. Since there are </w:t>
      </w:r>
      <w:r>
        <w:rPr>
          <w:i/>
          <w:iCs/>
          <w:sz w:val="24"/>
          <w:szCs w:val="24"/>
        </w:rPr>
        <w:t>on</w:t>
      </w:r>
      <w:r>
        <w:rPr>
          <w:i/>
          <w:iCs/>
          <w:sz w:val="24"/>
          <w:szCs w:val="24"/>
          <w:vertAlign w:val="subscript"/>
        </w:rPr>
        <w:t>ly t</w:t>
      </w:r>
      <w:r>
        <w:rPr>
          <w:sz w:val="24"/>
          <w:szCs w:val="24"/>
          <w:vertAlign w:val="subscript"/>
        </w:rPr>
        <w:t>we</w:t>
      </w:r>
      <w:r>
        <w:rPr>
          <w:sz w:val="24"/>
          <w:szCs w:val="24"/>
        </w:rPr>
        <w:t xml:space="preserve">lve input cells, we assume that these twelve values are used repeatedly in the valuation period. </w:t>
      </w:r>
    </w:p>
    <w:p>
      <w:pPr>
        <w:pStyle w:val="Normal"/>
        <w:widowControl/>
        <w:ind w:firstLine="720" w:end="0"/>
        <w:jc w:val="both"/>
        <w:rPr/>
      </w:pPr>
      <w:r>
        <w:rPr>
          <w:sz w:val="24"/>
          <w:szCs w:val="24"/>
        </w:rPr>
        <w:t>The seasonal bias s may recover a clear season</w:t>
      </w:r>
      <w:r>
        <w:rPr>
          <w:rFonts w:eastAsia="Century" w:cs="Century" w:ascii="Century" w:hAnsi="Century"/>
          <w:sz w:val="21"/>
          <w:szCs w:val="21"/>
          <w:lang w:val="en-CA"/>
        </w:rPr>
        <w:t>al</w:t>
      </w:r>
      <w:r>
        <w:rPr>
          <w:position w:val="-14"/>
          <w:sz w:val="24"/>
          <w:szCs w:val="24"/>
        </w:rPr>
        <w:t xml:space="preserve"> p</w:t>
      </w:r>
      <w:r>
        <w:rPr>
          <w:sz w:val="24"/>
          <w:szCs w:val="24"/>
        </w:rPr>
        <w:t xml:space="preserve">attern of the spot price St, since the seasonal variation in the theoretical spot price process F0t tends to be </w:t>
      </w:r>
      <w:r>
        <w:rPr>
          <w:i/>
          <w:iCs/>
          <w:sz w:val="24"/>
          <w:szCs w:val="24"/>
        </w:rPr>
        <w:t>bl</w:t>
      </w:r>
      <w:r>
        <w:rPr>
          <w:i/>
          <w:iCs/>
          <w:sz w:val="24"/>
          <w:szCs w:val="24"/>
          <w:vertAlign w:val="subscript"/>
        </w:rPr>
        <w:t>urre</w:t>
      </w:r>
      <w:r>
        <w:rPr>
          <w:sz w:val="24"/>
          <w:szCs w:val="24"/>
        </w:rPr>
        <w:t>d by t</w:t>
      </w:r>
      <w:r>
        <w:rPr>
          <w:i/>
          <w:iCs/>
          <w:sz w:val="24"/>
          <w:szCs w:val="24"/>
        </w:rPr>
        <w:t>he</w:t>
      </w:r>
      <w:r>
        <w:rPr>
          <w:sz w:val="24"/>
          <w:szCs w:val="24"/>
        </w:rPr>
        <w:t xml:space="preserve"> v</w:t>
      </w:r>
      <w:r>
        <w:rPr>
          <w:i/>
          <w:iCs/>
          <w:sz w:val="24"/>
          <w:szCs w:val="24"/>
        </w:rPr>
        <w:t>olatilit</w:t>
      </w:r>
      <w:r>
        <w:rPr>
          <w:sz w:val="24"/>
          <w:szCs w:val="24"/>
        </w:rPr>
        <w:t>y. However, there still remains a question of how to set s without being ad hoc. A potential improvement would be to use a convenience yield model to express th</w:t>
      </w:r>
      <w:r>
        <w:rPr>
          <w:i/>
          <w:iCs/>
          <w:sz w:val="24"/>
          <w:szCs w:val="24"/>
        </w:rPr>
        <w:t xml:space="preserve">e </w:t>
      </w:r>
      <w:r>
        <w:rPr>
          <w:sz w:val="24"/>
          <w:szCs w:val="24"/>
        </w:rPr>
        <w:t>de</w:t>
      </w:r>
      <w:r>
        <w:rPr>
          <w:i/>
          <w:iCs/>
          <w:sz w:val="24"/>
          <w:szCs w:val="24"/>
        </w:rPr>
        <w:t>sired se</w:t>
      </w:r>
      <w:r>
        <w:rPr>
          <w:sz w:val="24"/>
          <w:szCs w:val="24"/>
        </w:rPr>
        <w:t>asonal pattern, in which the convenience y</w:t>
      </w:r>
      <w:r>
        <w:rPr>
          <w:i/>
          <w:iCs/>
          <w:sz w:val="24"/>
          <w:szCs w:val="24"/>
        </w:rPr>
        <w:t>ield</w:t>
      </w:r>
      <w:r>
        <w:rPr>
          <w:sz w:val="24"/>
          <w:szCs w:val="24"/>
        </w:rPr>
        <w:t xml:space="preserve"> is defined as a deterministic function of the spot price.      </w:t>
      </w:r>
    </w:p>
    <w:p>
      <w:pPr>
        <w:pStyle w:val="Normal"/>
        <w:widowControl/>
        <w:ind w:end="0"/>
        <w:jc w:val="both"/>
        <w:rPr>
          <w:sz w:val="24"/>
          <w:szCs w:val="24"/>
        </w:rPr>
      </w:pPr>
      <w:r>
        <w:rPr>
          <w:sz w:val="24"/>
          <w:szCs w:val="24"/>
        </w:rPr>
        <w:t>Furthermore, rather than modeling the forward price dynamics and then deriving the spot price process St, it may be natural to directly model the spot price dynamics, by use of the convenience yield process (either deterministic or stochastic). This alternative approach will be discussed in the following subsection C.</w:t>
      </w:r>
    </w:p>
    <w:p>
      <w:pPr>
        <w:pStyle w:val="Normal"/>
        <w:widowControl/>
        <w:ind w:end="0"/>
        <w:jc w:val="both"/>
        <w:rPr>
          <w:sz w:val="24"/>
          <w:szCs w:val="24"/>
        </w:rPr>
      </w:pPr>
      <w:r>
        <w:rPr>
          <w:sz w:val="24"/>
          <w:szCs w:val="24"/>
        </w:rPr>
      </w:r>
    </w:p>
    <w:p>
      <w:pPr>
        <w:pStyle w:val="Normal"/>
        <w:widowControl/>
        <w:ind w:end="0"/>
        <w:jc w:val="both"/>
        <w:rPr>
          <w:sz w:val="24"/>
          <w:szCs w:val="24"/>
        </w:rPr>
      </w:pPr>
      <w:r>
        <w:rPr>
          <w:sz w:val="24"/>
          <w:szCs w:val="24"/>
        </w:rPr>
        <w:t>B.</w:t>
        <w:tab/>
        <w:t>Volatility of Forward Prices</w:t>
      </w:r>
    </w:p>
    <w:p>
      <w:pPr>
        <w:pStyle w:val="Normal"/>
        <w:widowControl/>
        <w:ind w:end="0"/>
        <w:jc w:val="both"/>
        <w:rPr>
          <w:sz w:val="24"/>
          <w:szCs w:val="24"/>
        </w:rPr>
      </w:pPr>
      <w:r>
        <w:rPr>
          <w:sz w:val="24"/>
          <w:szCs w:val="24"/>
        </w:rPr>
      </w:r>
    </w:p>
    <w:p>
      <w:pPr>
        <w:pStyle w:val="Normal"/>
        <w:widowControl/>
        <w:ind w:end="0"/>
        <w:jc w:val="both"/>
        <w:rPr>
          <w:sz w:val="24"/>
          <w:szCs w:val="24"/>
        </w:rPr>
      </w:pPr>
      <w:r>
        <w:rPr>
          <w:sz w:val="24"/>
          <w:szCs w:val="24"/>
        </w:rPr>
        <w:t xml:space="preserve">There is at least one outstanding merit, among others, in modeling the forward price dynamics based on the HJM technology. It can easily incorporate arbitrary term structure of the volatility of forward prices. </w:t>
      </w:r>
    </w:p>
    <w:p>
      <w:pPr>
        <w:pStyle w:val="Normal"/>
        <w:widowControl/>
        <w:ind w:end="0"/>
        <w:jc w:val="both"/>
        <w:rPr>
          <w:sz w:val="24"/>
          <w:szCs w:val="24"/>
        </w:rPr>
      </w:pPr>
      <w:r>
        <w:rPr>
          <w:sz w:val="24"/>
          <w:szCs w:val="24"/>
        </w:rPr>
        <w:t>In the same way as the future price curve shows both the cyclical seasonal variation and the variation depending on the remaining time to delivery, the volatility curve also may show both (a) the seasonal variation and (b) the variation depending on the remaining time to delivery. Hence, ideally the volatility of forward prices may be a function of both the start date t and the delivery date T.</w:t>
      </w:r>
    </w:p>
    <w:p>
      <w:pPr>
        <w:pStyle w:val="Normal"/>
        <w:widowControl/>
        <w:ind w:firstLine="720" w:end="0"/>
        <w:jc w:val="both"/>
        <w:rPr/>
      </w:pPr>
      <w:r>
        <w:rPr>
          <w:sz w:val="24"/>
          <w:szCs w:val="24"/>
        </w:rPr>
        <w:t>In the proposed model, accord</w:t>
      </w:r>
      <w:r>
        <w:rPr>
          <w:i/>
          <w:iCs/>
          <w:sz w:val="24"/>
          <w:szCs w:val="24"/>
        </w:rPr>
        <w:t>in</w:t>
      </w:r>
      <w:r>
        <w:rPr>
          <w:sz w:val="24"/>
          <w:szCs w:val="24"/>
        </w:rPr>
        <w:t>g to the equation (1) on page 2, the volatility of forward prices (i.e. the factor loading Lik of the three-factor HJM model, where the index i refers to each delivery date and k = 1,2,3) is defined to be a function of only the original delivery date T (or the delivery date index i). In this definition, the volatility of a forward</w:t>
      </w:r>
      <w:r>
        <w:rPr>
          <w:b/>
          <w:bCs/>
          <w:sz w:val="24"/>
          <w:szCs w:val="24"/>
        </w:rPr>
        <w:t xml:space="preserve"> price of a certain delivery date T does not change even tho</w:t>
      </w:r>
      <w:r>
        <w:rPr/>
        <w:t>ug</w:t>
      </w:r>
      <w:r>
        <w:rPr>
          <w:sz w:val="24"/>
          <w:szCs w:val="24"/>
        </w:rPr>
        <w:t xml:space="preserve">h the remaining time to delivery T-t changes. </w:t>
      </w:r>
    </w:p>
    <w:p>
      <w:pPr>
        <w:pStyle w:val="Normal"/>
        <w:widowControl/>
        <w:ind w:end="0"/>
        <w:jc w:val="both"/>
        <w:rPr/>
      </w:pPr>
      <w:r>
        <w:rPr>
          <w:sz w:val="24"/>
          <w:szCs w:val="24"/>
        </w:rPr>
        <w:t>This treatment may or may not be re</w:t>
      </w:r>
      <w:r>
        <w:rPr>
          <w:rFonts w:eastAsia="Century" w:cs="Century" w:ascii="Century" w:hAnsi="Century"/>
          <w:sz w:val="21"/>
          <w:szCs w:val="21"/>
          <w:lang w:val="en-CA"/>
        </w:rPr>
        <w:t>as</w:t>
      </w:r>
      <w:r>
        <w:rPr>
          <w:position w:val="-14"/>
          <w:sz w:val="24"/>
          <w:szCs w:val="24"/>
        </w:rPr>
        <w:t>on</w:t>
      </w:r>
      <w:r>
        <w:rPr>
          <w:sz w:val="24"/>
          <w:szCs w:val="24"/>
        </w:rPr>
        <w:t>able, depending on which of the above, (a) or (b), is dominant to the forward price volatility. Although it is n</w:t>
      </w:r>
      <w:r>
        <w:rPr>
          <w:i/>
          <w:iCs/>
          <w:sz w:val="24"/>
          <w:szCs w:val="24"/>
        </w:rPr>
        <w:t>ot</w:t>
      </w:r>
      <w:r>
        <w:rPr>
          <w:sz w:val="24"/>
          <w:szCs w:val="24"/>
        </w:rPr>
        <w:t xml:space="preserve"> documented exactly how the factor loading Lik is obtained from historical data, it can be</w:t>
      </w:r>
      <w:r>
        <w:rPr>
          <w:rFonts w:eastAsia="Century" w:cs="Century" w:ascii="Century" w:hAnsi="Century"/>
          <w:sz w:val="21"/>
          <w:szCs w:val="21"/>
          <w:lang w:val="en-CA"/>
        </w:rPr>
        <w:t xml:space="preserve"> s</w:t>
      </w:r>
      <w:r>
        <w:rPr>
          <w:position w:val="-14"/>
          <w:sz w:val="24"/>
          <w:szCs w:val="24"/>
        </w:rPr>
        <w:t>ee</w:t>
      </w:r>
      <w:r>
        <w:rPr>
          <w:sz w:val="24"/>
          <w:szCs w:val="24"/>
        </w:rPr>
        <w:t>n from Fig.1 on pa</w:t>
      </w:r>
      <w:r>
        <w:rPr>
          <w:rFonts w:eastAsia="Symbol" w:cs="Symbol" w:ascii="Symbol" w:hAnsi="Symbol"/>
          <w:i/>
          <w:iCs/>
          <w:sz w:val="24"/>
          <w:szCs w:val="24"/>
        </w:rPr>
        <w:sym w:font="Symbol" w:char="63"/>
        <w:sym w:font="Symbol" w:char="63"/>
      </w:r>
      <w:r>
        <w:rPr>
          <w:sz w:val="24"/>
          <w:szCs w:val="24"/>
        </w:rPr>
        <w:t xml:space="preserve"> 3</w:t>
      </w:r>
      <w:r>
        <w:rPr>
          <w:i/>
          <w:iCs/>
          <w:sz w:val="24"/>
          <w:szCs w:val="24"/>
        </w:rPr>
        <w:t xml:space="preserve"> o</w:t>
      </w:r>
      <w:r>
        <w:rPr>
          <w:sz w:val="24"/>
          <w:szCs w:val="24"/>
        </w:rPr>
        <w:t>f the document that all the factors flatten out beyond five years of maturity. This implies that the variation effect of (b) may be domi</w:t>
      </w:r>
      <w:r>
        <w:rPr>
          <w:rFonts w:eastAsia="Symbol" w:cs="Symbol" w:ascii="Symbol" w:hAnsi="Symbol"/>
          <w:i/>
          <w:iCs/>
          <w:sz w:val="24"/>
          <w:szCs w:val="24"/>
        </w:rPr>
        <w:sym w:font="Symbol" w:char="64"/>
        <w:sym w:font="Symbol" w:char="64"/>
      </w:r>
      <w:r>
        <w:rPr>
          <w:sz w:val="24"/>
          <w:szCs w:val="24"/>
        </w:rPr>
        <w:t>nt and the use of time-homogeneous volatility structure may be more appropriat</w:t>
      </w:r>
      <w:r>
        <w:rPr>
          <w:i/>
          <w:iCs/>
          <w:sz w:val="24"/>
          <w:szCs w:val="24"/>
        </w:rPr>
        <w:t xml:space="preserve">e. </w:t>
      </w:r>
    </w:p>
    <w:p>
      <w:pPr>
        <w:pStyle w:val="Normal"/>
        <w:widowControl/>
        <w:ind w:end="0"/>
        <w:jc w:val="both"/>
        <w:rPr>
          <w:i/>
          <w:i/>
          <w:iCs/>
          <w:sz w:val="24"/>
          <w:szCs w:val="24"/>
        </w:rPr>
      </w:pPr>
      <w:r>
        <w:rPr>
          <w:i/>
          <w:iCs/>
          <w:sz w:val="24"/>
          <w:szCs w:val="24"/>
        </w:rPr>
      </w:r>
    </w:p>
    <w:p>
      <w:pPr>
        <w:pStyle w:val="Normal"/>
        <w:widowControl/>
        <w:ind w:end="0"/>
        <w:jc w:val="both"/>
        <w:rPr>
          <w:sz w:val="24"/>
          <w:szCs w:val="24"/>
        </w:rPr>
      </w:pPr>
      <w:r>
        <w:rPr>
          <w:sz w:val="24"/>
          <w:szCs w:val="24"/>
        </w:rPr>
      </w:r>
    </w:p>
    <w:p>
      <w:pPr>
        <w:pStyle w:val="Normal"/>
        <w:widowControl/>
        <w:ind w:end="0"/>
        <w:jc w:val="both"/>
        <w:rPr>
          <w:sz w:val="24"/>
          <w:szCs w:val="24"/>
        </w:rPr>
      </w:pPr>
      <w:r>
        <w:rPr>
          <w:sz w:val="24"/>
          <w:szCs w:val="24"/>
        </w:rPr>
        <w:t>C.</w:t>
        <w:tab/>
        <w:t>Alternative Spot Price Models</w:t>
      </w:r>
    </w:p>
    <w:p>
      <w:pPr>
        <w:pStyle w:val="Normal"/>
        <w:widowControl/>
        <w:ind w:end="0"/>
        <w:jc w:val="both"/>
        <w:rPr>
          <w:sz w:val="24"/>
          <w:szCs w:val="24"/>
        </w:rPr>
      </w:pPr>
      <w:r>
        <w:rPr>
          <w:sz w:val="24"/>
          <w:szCs w:val="24"/>
        </w:rPr>
      </w:r>
    </w:p>
    <w:p>
      <w:pPr>
        <w:pStyle w:val="Normal"/>
        <w:widowControl/>
        <w:ind w:end="0"/>
        <w:jc w:val="both"/>
        <w:rPr/>
      </w:pPr>
      <w:r>
        <w:rPr>
          <w:sz w:val="24"/>
          <w:szCs w:val="24"/>
        </w:rPr>
        <w:t>While there are advantages in the use of HJM technology, there is also an inevitable drawback. Namely, the resulting spot price process St (or F0t) is non-Markov and it can only be imple</w:t>
      </w:r>
      <w:r>
        <w:rPr>
          <w:i/>
          <w:iCs/>
          <w:sz w:val="24"/>
          <w:szCs w:val="24"/>
        </w:rPr>
        <w:t>me</w:t>
      </w:r>
      <w:r>
        <w:rPr>
          <w:i/>
          <w:iCs/>
          <w:sz w:val="24"/>
          <w:szCs w:val="24"/>
          <w:vertAlign w:val="subscript"/>
        </w:rPr>
        <w:t>nted</w:t>
      </w:r>
      <w:r>
        <w:rPr>
          <w:sz w:val="24"/>
          <w:szCs w:val="24"/>
        </w:rPr>
        <w:t xml:space="preserve"> by a bushy tree. (The document suggests that the proposed model constructs a kind of trimmed or simplified tree by simulation, but the detail algorithm for the tree construction is not documented. We assume that</w:t>
      </w:r>
      <w:r>
        <w:rPr>
          <w:i/>
          <w:iCs/>
          <w:sz w:val="24"/>
          <w:szCs w:val="24"/>
        </w:rPr>
        <w:t xml:space="preserve"> t</w:t>
      </w:r>
      <w:r>
        <w:rPr>
          <w:sz w:val="24"/>
          <w:szCs w:val="24"/>
        </w:rPr>
        <w:t xml:space="preserve">he proposed model still suffers from the lack of a Markov property.)     </w:t>
      </w:r>
    </w:p>
    <w:p>
      <w:pPr>
        <w:pStyle w:val="Normal"/>
        <w:widowControl/>
        <w:ind w:firstLine="720" w:end="0"/>
        <w:jc w:val="both"/>
        <w:rPr/>
      </w:pPr>
      <w:r>
        <w:rPr>
          <w:sz w:val="24"/>
          <w:szCs w:val="24"/>
        </w:rPr>
        <w:t>A potentially more tractable approach is based on a two-factor Markov model of spot price or forward prices. Advantages of such Markov models are two folds. First, with at most two state variables, a straightforward dynamic programming implementation is easily employed, and it would be much more efficient than a simulation-based method. Second, seasonal variation can be explicitly modeled using a convenience yield process, which</w:t>
      </w:r>
      <w:r>
        <w:rPr>
          <w:i/>
          <w:iCs/>
          <w:sz w:val="24"/>
          <w:szCs w:val="24"/>
        </w:rPr>
        <w:t xml:space="preserve"> m</w:t>
      </w:r>
      <w:r>
        <w:rPr>
          <w:sz w:val="24"/>
          <w:szCs w:val="24"/>
        </w:rPr>
        <w:t>ay be a deterministic function or a stochastic process.  .</w:t>
      </w:r>
    </w:p>
    <w:p>
      <w:pPr>
        <w:pStyle w:val="Normal"/>
        <w:widowControl/>
        <w:ind w:end="0"/>
        <w:jc w:val="both"/>
        <w:rPr/>
      </w:pPr>
      <w:r>
        <w:rPr>
          <w:sz w:val="24"/>
          <w:szCs w:val="24"/>
        </w:rPr>
        <w:t>We show two example models. The first model is Heston</w:t>
      </w:r>
      <w:r>
        <w:rPr>
          <w:i/>
          <w:iCs/>
          <w:sz w:val="24"/>
          <w:szCs w:val="24"/>
        </w:rPr>
        <w:t>’s</w:t>
      </w:r>
      <w:r>
        <w:rPr>
          <w:i/>
          <w:iCs/>
          <w:sz w:val="24"/>
          <w:szCs w:val="24"/>
          <w:vertAlign w:val="subscript"/>
        </w:rPr>
        <w:t xml:space="preserve"> s</w:t>
      </w:r>
      <w:r>
        <w:rPr>
          <w:sz w:val="24"/>
          <w:szCs w:val="24"/>
        </w:rPr>
        <w:t>tochastic volatility model, in which the spot price St and the instantaneous spot volatility Vt  (with a slight abuse of the term “volatil</w:t>
      </w:r>
      <w:r>
        <w:rPr>
          <w:i/>
          <w:iCs/>
          <w:sz w:val="24"/>
          <w:szCs w:val="24"/>
        </w:rPr>
        <w:t>it</w:t>
      </w:r>
      <w:r>
        <w:rPr>
          <w:i/>
          <w:iCs/>
          <w:sz w:val="24"/>
          <w:szCs w:val="24"/>
          <w:vertAlign w:val="subscript"/>
        </w:rPr>
        <w:t xml:space="preserve">y”, </w:t>
      </w:r>
      <w:r>
        <w:rPr>
          <w:sz w:val="24"/>
          <w:szCs w:val="24"/>
        </w:rPr>
        <w:t>since the squared root of Vt works as the volatility) are the two state variables and solves the following system of SDEs:</w:t>
      </w:r>
    </w:p>
    <w:p>
      <w:pPr>
        <w:pStyle w:val="Normal"/>
        <w:widowControl/>
        <w:ind w:end="0"/>
        <w:jc w:val="both"/>
        <w:rPr>
          <w:sz w:val="24"/>
          <w:szCs w:val="24"/>
        </w:rPr>
      </w:pPr>
      <w:r>
        <w:rPr>
          <w:sz w:val="24"/>
          <w:szCs w:val="24"/>
        </w:rPr>
      </w:r>
    </w:p>
    <w:p>
      <w:pPr>
        <w:pStyle w:val="Normal"/>
        <w:widowControl/>
        <w:ind w:end="0"/>
        <w:jc w:val="both"/>
        <w:rPr>
          <w:sz w:val="24"/>
          <w:szCs w:val="24"/>
        </w:rPr>
      </w:pPr>
      <w:r>
        <w:rPr>
          <w:sz w:val="24"/>
          <w:szCs w:val="24"/>
        </w:rPr>
        <w:t>Stochastic Volatility Model</w:t>
      </w:r>
    </w:p>
    <w:p>
      <w:pPr>
        <w:pStyle w:val="Normal"/>
        <w:widowControl/>
        <w:ind w:end="0"/>
        <w:jc w:val="both"/>
        <w:rPr>
          <w:sz w:val="24"/>
          <w:szCs w:val="24"/>
        </w:rPr>
      </w:pPr>
      <w:r>
        <w:rPr>
          <w:sz w:val="24"/>
          <w:szCs w:val="24"/>
        </w:rPr>
        <w:tab/>
        <w:t xml:space="preserve">         µ §</w:t>
      </w:r>
    </w:p>
    <w:p>
      <w:pPr>
        <w:pStyle w:val="Normal"/>
        <w:widowControl/>
        <w:ind w:end="0"/>
        <w:jc w:val="both"/>
        <w:rPr/>
      </w:pPr>
      <w:r>
        <w:rPr>
          <w:sz w:val="24"/>
          <w:szCs w:val="24"/>
        </w:rPr>
        <w:tab/>
        <w:t xml:space="preserve"> </w:t>
      </w:r>
      <w:r>
        <w:rPr>
          <w:i/>
          <w:iCs/>
          <w:sz w:val="24"/>
          <w:szCs w:val="24"/>
        </w:rPr>
        <w:t xml:space="preserve">  </w:t>
      </w:r>
      <w:r>
        <w:rPr>
          <w:sz w:val="24"/>
          <w:szCs w:val="24"/>
        </w:rPr>
        <w:t xml:space="preserve">      µ §</w:t>
      </w:r>
    </w:p>
    <w:p>
      <w:pPr>
        <w:pStyle w:val="Normal"/>
        <w:widowControl/>
        <w:ind w:end="0"/>
        <w:jc w:val="both"/>
        <w:rPr>
          <w:sz w:val="24"/>
          <w:szCs w:val="24"/>
        </w:rPr>
      </w:pPr>
      <w:r>
        <w:rPr>
          <w:sz w:val="24"/>
          <w:szCs w:val="24"/>
        </w:rPr>
      </w:r>
    </w:p>
    <w:p>
      <w:pPr>
        <w:pStyle w:val="Normal"/>
        <w:widowControl/>
        <w:ind w:end="0"/>
        <w:jc w:val="both"/>
        <w:rPr>
          <w:sz w:val="24"/>
          <w:szCs w:val="24"/>
        </w:rPr>
      </w:pPr>
      <w:r>
        <w:rPr>
          <w:sz w:val="24"/>
          <w:szCs w:val="24"/>
        </w:rPr>
        <w:t xml:space="preserve">where </w:t>
      </w:r>
    </w:p>
    <w:p>
      <w:pPr>
        <w:pStyle w:val="Normal"/>
        <w:widowControl/>
        <w:ind w:end="0"/>
        <w:jc w:val="both"/>
        <w:rPr>
          <w:sz w:val="24"/>
          <w:szCs w:val="24"/>
        </w:rPr>
      </w:pPr>
      <w:r>
        <w:rPr>
          <w:sz w:val="24"/>
          <w:szCs w:val="24"/>
        </w:rPr>
        <w:t xml:space="preserve">      </w:t>
      </w:r>
      <w:r>
        <w:rPr>
          <w:sz w:val="24"/>
          <w:szCs w:val="24"/>
        </w:rPr>
        <w:t>r</w:t>
        <w:tab/>
        <w:t>the risk free short term interest rate (constant)</w:t>
      </w:r>
    </w:p>
    <w:p>
      <w:pPr>
        <w:pStyle w:val="Normal"/>
        <w:widowControl/>
        <w:ind w:end="0"/>
        <w:jc w:val="both"/>
        <w:rPr>
          <w:sz w:val="24"/>
          <w:szCs w:val="24"/>
        </w:rPr>
      </w:pPr>
      <w:r>
        <w:rPr>
          <w:sz w:val="24"/>
          <w:szCs w:val="24"/>
        </w:rPr>
        <w:t xml:space="preserve">      </w:t>
      </w:r>
      <w:r>
        <w:rPr>
          <w:sz w:val="24"/>
          <w:szCs w:val="24"/>
        </w:rPr>
        <w:t>(t</w:t>
        <w:tab/>
        <w:t xml:space="preserve">seasonality, combined with convenience yield (deterministic function of t) </w:t>
      </w:r>
    </w:p>
    <w:p>
      <w:pPr>
        <w:pStyle w:val="Normal"/>
        <w:widowControl/>
        <w:ind w:end="0"/>
        <w:jc w:val="both"/>
        <w:rPr>
          <w:sz w:val="24"/>
          <w:szCs w:val="24"/>
        </w:rPr>
      </w:pPr>
      <w:r>
        <w:rPr>
          <w:sz w:val="24"/>
          <w:szCs w:val="24"/>
        </w:rPr>
        <w:t xml:space="preserve">      </w:t>
      </w:r>
      <w:r>
        <w:rPr>
          <w:sz w:val="24"/>
          <w:szCs w:val="24"/>
        </w:rPr>
        <w:t>(</w:t>
        <w:tab/>
        <w:t>long run mean of the spot price volatility (constant)</w:t>
      </w:r>
    </w:p>
    <w:p>
      <w:pPr>
        <w:pStyle w:val="Normal"/>
        <w:widowControl/>
        <w:ind w:end="0"/>
        <w:jc w:val="both"/>
        <w:rPr>
          <w:sz w:val="24"/>
          <w:szCs w:val="24"/>
        </w:rPr>
      </w:pPr>
      <w:r>
        <w:rPr>
          <w:sz w:val="24"/>
          <w:szCs w:val="24"/>
        </w:rPr>
        <w:t xml:space="preserve">      </w:t>
      </w:r>
      <w:r>
        <w:rPr>
          <w:sz w:val="24"/>
          <w:szCs w:val="24"/>
        </w:rPr>
        <w:t>(     speed of the mean reversion of the spot volatility (constant)</w:t>
      </w:r>
    </w:p>
    <w:p>
      <w:pPr>
        <w:pStyle w:val="Normal"/>
        <w:widowControl/>
        <w:ind w:end="0"/>
        <w:jc w:val="both"/>
        <w:rPr>
          <w:sz w:val="24"/>
          <w:szCs w:val="24"/>
        </w:rPr>
      </w:pPr>
      <w:r>
        <w:rPr>
          <w:sz w:val="24"/>
          <w:szCs w:val="24"/>
        </w:rPr>
        <w:t xml:space="preserve">      </w:t>
      </w:r>
      <w:r>
        <w:rPr>
          <w:sz w:val="24"/>
          <w:szCs w:val="24"/>
        </w:rPr>
        <w:t>(</w:t>
        <w:tab/>
        <w:t>volatility parameter of the spot volatility (constant)</w:t>
      </w:r>
    </w:p>
    <w:p>
      <w:pPr>
        <w:pStyle w:val="Normal"/>
        <w:widowControl/>
        <w:ind w:firstLine="720" w:end="0"/>
        <w:jc w:val="both"/>
        <w:rPr>
          <w:sz w:val="24"/>
          <w:szCs w:val="24"/>
        </w:rPr>
      </w:pPr>
      <w:r>
        <w:rPr>
          <w:sz w:val="24"/>
          <w:szCs w:val="24"/>
        </w:rPr>
        <w:t xml:space="preserve">      </w:t>
      </w:r>
      <w:r>
        <w:rPr>
          <w:sz w:val="24"/>
          <w:szCs w:val="24"/>
        </w:rPr>
        <w:t>(</w:t>
        <w:tab/>
        <w:t>correlation between the spot price and the spot volatility (constant)</w:t>
      </w:r>
    </w:p>
    <w:p>
      <w:pPr>
        <w:pStyle w:val="Normal"/>
        <w:widowControl/>
        <w:ind w:end="0"/>
        <w:jc w:val="both"/>
        <w:rPr>
          <w:sz w:val="24"/>
          <w:szCs w:val="24"/>
        </w:rPr>
      </w:pPr>
      <w:r>
        <w:rPr>
          <w:sz w:val="24"/>
          <w:szCs w:val="24"/>
        </w:rPr>
      </w:r>
    </w:p>
    <w:p>
      <w:pPr>
        <w:pStyle w:val="Normal"/>
        <w:widowControl/>
        <w:ind w:end="0"/>
        <w:jc w:val="both"/>
        <w:rPr>
          <w:sz w:val="24"/>
          <w:szCs w:val="24"/>
        </w:rPr>
      </w:pPr>
      <w:r>
        <w:rPr>
          <w:sz w:val="24"/>
          <w:szCs w:val="24"/>
        </w:rPr>
        <w:t>and Wt and Zt are mutually independent standard Brownian motions.</w:t>
      </w:r>
    </w:p>
    <w:p>
      <w:pPr>
        <w:pStyle w:val="Normal"/>
        <w:widowControl/>
        <w:ind w:end="0"/>
        <w:jc w:val="both"/>
        <w:rPr/>
      </w:pPr>
      <w:r>
        <w:rPr>
          <w:sz w:val="24"/>
          <w:szCs w:val="24"/>
        </w:rPr>
        <w:tab/>
        <w:t xml:space="preserve">The second model employs the spot price St and the convenience yield </w:t>
      </w:r>
      <w:r>
        <w:rPr>
          <w:rFonts w:ascii="Symbol" w:hAnsi="Symbol"/>
          <w:sz w:val="24"/>
          <w:szCs w:val="24"/>
        </w:rPr>
        <w:sym w:font="Symbol" w:char="6c"/>
      </w:r>
      <w:r>
        <w:rPr>
          <w:szCs w:val="24"/>
        </w:rPr>
        <w:t>t as the two state variable</w:t>
      </w:r>
      <w:r>
        <w:rPr>
          <w:i/>
          <w:iCs/>
          <w:sz w:val="24"/>
          <w:szCs w:val="24"/>
        </w:rPr>
        <w:t>s.</w:t>
      </w:r>
      <w:r>
        <w:rPr>
          <w:i/>
          <w:iCs/>
          <w:sz w:val="24"/>
          <w:szCs w:val="24"/>
          <w:vertAlign w:val="subscript"/>
        </w:rPr>
        <w:t xml:space="preserve"> T</w:t>
      </w:r>
      <w:r>
        <w:rPr>
          <w:sz w:val="24"/>
          <w:szCs w:val="24"/>
        </w:rPr>
        <w:t>he corresponding SDEs are as follows:</w:t>
      </w:r>
    </w:p>
    <w:p>
      <w:pPr>
        <w:pStyle w:val="Normal"/>
        <w:widowControl/>
        <w:ind w:end="0"/>
        <w:jc w:val="both"/>
        <w:rPr>
          <w:sz w:val="24"/>
          <w:szCs w:val="24"/>
        </w:rPr>
      </w:pPr>
      <w:r>
        <w:rPr>
          <w:sz w:val="24"/>
          <w:szCs w:val="24"/>
        </w:rPr>
      </w:r>
    </w:p>
    <w:p>
      <w:pPr>
        <w:pStyle w:val="Normal"/>
        <w:widowControl/>
        <w:ind w:end="0"/>
        <w:jc w:val="both"/>
        <w:rPr>
          <w:sz w:val="24"/>
          <w:szCs w:val="24"/>
        </w:rPr>
      </w:pPr>
      <w:r>
        <w:rPr>
          <w:sz w:val="24"/>
          <w:szCs w:val="24"/>
        </w:rPr>
        <w:t>Stochastic Convenience Yield Model</w:t>
      </w:r>
    </w:p>
    <w:p>
      <w:pPr>
        <w:pStyle w:val="Normal"/>
        <w:widowControl/>
        <w:ind w:end="0"/>
        <w:jc w:val="both"/>
        <w:rPr>
          <w:sz w:val="24"/>
          <w:szCs w:val="24"/>
        </w:rPr>
      </w:pPr>
      <w:r>
        <w:rPr>
          <w:sz w:val="24"/>
          <w:szCs w:val="24"/>
        </w:rPr>
        <w:tab/>
        <w:t xml:space="preserve">         µ §</w:t>
      </w:r>
    </w:p>
    <w:p>
      <w:pPr>
        <w:pStyle w:val="Normal"/>
        <w:widowControl/>
        <w:ind w:end="0"/>
        <w:jc w:val="both"/>
        <w:rPr>
          <w:sz w:val="24"/>
          <w:szCs w:val="24"/>
        </w:rPr>
      </w:pPr>
      <w:r>
        <w:rPr>
          <w:sz w:val="24"/>
          <w:szCs w:val="24"/>
        </w:rPr>
        <w:tab/>
        <w:t xml:space="preserve">         µ §</w:t>
      </w:r>
    </w:p>
    <w:p>
      <w:pPr>
        <w:pStyle w:val="Normal"/>
        <w:widowControl/>
        <w:ind w:end="0"/>
        <w:jc w:val="both"/>
        <w:rPr>
          <w:sz w:val="24"/>
          <w:szCs w:val="24"/>
        </w:rPr>
      </w:pPr>
      <w:r>
        <w:rPr>
          <w:sz w:val="24"/>
          <w:szCs w:val="24"/>
        </w:rPr>
      </w:r>
    </w:p>
    <w:p>
      <w:pPr>
        <w:pStyle w:val="Normal"/>
        <w:widowControl/>
        <w:ind w:end="0"/>
        <w:jc w:val="both"/>
        <w:rPr>
          <w:sz w:val="24"/>
          <w:szCs w:val="24"/>
        </w:rPr>
      </w:pPr>
      <w:r>
        <w:rPr>
          <w:sz w:val="24"/>
          <w:szCs w:val="24"/>
        </w:rPr>
        <w:t>where</w:t>
      </w:r>
    </w:p>
    <w:p>
      <w:pPr>
        <w:pStyle w:val="Normal"/>
        <w:widowControl/>
        <w:ind w:end="0"/>
        <w:jc w:val="both"/>
        <w:rPr>
          <w:sz w:val="24"/>
          <w:szCs w:val="24"/>
        </w:rPr>
      </w:pPr>
      <w:r>
        <w:rPr>
          <w:sz w:val="24"/>
          <w:szCs w:val="24"/>
        </w:rPr>
        <w:t xml:space="preserve">     </w:t>
      </w:r>
      <w:r>
        <w:rPr>
          <w:sz w:val="24"/>
          <w:szCs w:val="24"/>
        </w:rPr>
        <w:t>(t</w:t>
        <w:tab/>
        <w:t xml:space="preserve"> volatility of the spot price (deterministic function of t)</w:t>
      </w:r>
    </w:p>
    <w:p>
      <w:pPr>
        <w:pStyle w:val="Normal"/>
        <w:widowControl/>
        <w:ind w:end="0"/>
        <w:jc w:val="both"/>
        <w:rPr>
          <w:sz w:val="24"/>
          <w:szCs w:val="24"/>
        </w:rPr>
      </w:pPr>
      <w:r>
        <w:rPr>
          <w:sz w:val="24"/>
          <w:szCs w:val="24"/>
        </w:rPr>
        <w:t xml:space="preserve">     </w:t>
      </w:r>
      <w:r>
        <w:rPr>
          <w:sz w:val="24"/>
          <w:szCs w:val="24"/>
        </w:rPr>
        <w:t>(t</w:t>
        <w:tab/>
        <w:t xml:space="preserve"> mean of the convenience yield (deterministic function of t)</w:t>
      </w:r>
    </w:p>
    <w:p>
      <w:pPr>
        <w:pStyle w:val="Normal"/>
        <w:widowControl/>
        <w:ind w:end="0"/>
        <w:jc w:val="both"/>
        <w:rPr>
          <w:sz w:val="24"/>
          <w:szCs w:val="24"/>
        </w:rPr>
      </w:pPr>
      <w:r>
        <w:rPr>
          <w:sz w:val="24"/>
          <w:szCs w:val="24"/>
        </w:rPr>
        <w:t xml:space="preserve">     </w:t>
      </w:r>
      <w:r>
        <w:rPr>
          <w:sz w:val="24"/>
          <w:szCs w:val="24"/>
        </w:rPr>
        <w:t>(       volatility parameter of the convenience yield (constant)</w:t>
      </w:r>
    </w:p>
    <w:p>
      <w:pPr>
        <w:pStyle w:val="Normal"/>
        <w:widowControl/>
        <w:ind w:end="0"/>
        <w:jc w:val="both"/>
        <w:rPr>
          <w:sz w:val="24"/>
          <w:szCs w:val="24"/>
        </w:rPr>
      </w:pPr>
      <w:r>
        <w:rPr>
          <w:sz w:val="24"/>
          <w:szCs w:val="24"/>
        </w:rPr>
        <w:t>and other coefficients are the same as in the Heston model.</w:t>
      </w:r>
    </w:p>
    <w:p>
      <w:pPr>
        <w:pStyle w:val="Normal"/>
        <w:widowControl/>
        <w:ind w:end="0"/>
        <w:jc w:val="both"/>
        <w:rPr>
          <w:sz w:val="24"/>
          <w:szCs w:val="24"/>
        </w:rPr>
      </w:pPr>
      <w:r>
        <w:rPr>
          <w:sz w:val="24"/>
          <w:szCs w:val="24"/>
        </w:rPr>
      </w:r>
    </w:p>
    <w:p>
      <w:pPr>
        <w:pStyle w:val="Normal"/>
        <w:widowControl/>
        <w:ind w:end="0"/>
        <w:jc w:val="both"/>
        <w:rPr>
          <w:sz w:val="24"/>
          <w:szCs w:val="24"/>
        </w:rPr>
      </w:pPr>
      <w:r>
        <w:rPr>
          <w:sz w:val="24"/>
          <w:szCs w:val="24"/>
        </w:rPr>
      </w:r>
    </w:p>
    <w:p>
      <w:pPr>
        <w:pStyle w:val="Normal"/>
        <w:widowControl/>
        <w:ind w:end="0"/>
        <w:jc w:val="both"/>
        <w:rPr/>
      </w:pPr>
      <w:r>
        <w:rPr>
          <w:sz w:val="24"/>
          <w:szCs w:val="24"/>
        </w:rPr>
        <w:t>2.</w:t>
        <w:tab/>
        <w:t>Dynam</w:t>
      </w:r>
      <w:r>
        <w:rPr>
          <w:b/>
          <w:bCs/>
          <w:sz w:val="24"/>
          <w:szCs w:val="24"/>
        </w:rPr>
        <w:t>ic</w:t>
      </w:r>
      <w:r>
        <w:rPr>
          <w:sz w:val="24"/>
          <w:szCs w:val="24"/>
        </w:rPr>
        <w:t xml:space="preserve"> Progr</w:t>
      </w:r>
      <w:r>
        <w:rPr>
          <w:b/>
          <w:bCs/>
          <w:sz w:val="24"/>
          <w:szCs w:val="24"/>
        </w:rPr>
        <w:t>amming</w:t>
      </w:r>
    </w:p>
    <w:p>
      <w:pPr>
        <w:pStyle w:val="Normal"/>
        <w:widowControl/>
        <w:jc w:val="both"/>
        <w:rPr>
          <w:b/>
          <w:bCs/>
          <w:sz w:val="24"/>
          <w:szCs w:val="24"/>
        </w:rPr>
      </w:pPr>
      <w:r>
        <w:rPr>
          <w:b/>
          <w:bCs/>
          <w:sz w:val="24"/>
          <w:szCs w:val="24"/>
        </w:rPr>
      </w:r>
    </w:p>
    <w:p>
      <w:pPr>
        <w:pStyle w:val="Normal"/>
        <w:widowControl/>
        <w:jc w:val="both"/>
        <w:rPr>
          <w:b/>
          <w:bCs/>
          <w:sz w:val="24"/>
          <w:szCs w:val="24"/>
        </w:rPr>
      </w:pPr>
      <w:r>
        <w:rPr>
          <w:b/>
          <w:bCs/>
          <w:sz w:val="24"/>
          <w:szCs w:val="24"/>
        </w:rPr>
        <w:t>A.</w:t>
        <w:tab/>
        <w:t>Dynamic Recursion</w:t>
      </w:r>
    </w:p>
    <w:p>
      <w:pPr>
        <w:pStyle w:val="Normal"/>
        <w:widowControl/>
        <w:jc w:val="both"/>
        <w:rPr>
          <w:b/>
          <w:bCs/>
          <w:sz w:val="24"/>
          <w:szCs w:val="24"/>
        </w:rPr>
      </w:pPr>
      <w:r>
        <w:rPr>
          <w:b/>
          <w:bCs/>
          <w:sz w:val="24"/>
          <w:szCs w:val="24"/>
        </w:rPr>
      </w:r>
    </w:p>
    <w:p>
      <w:pPr>
        <w:pStyle w:val="Normal"/>
        <w:widowControl/>
        <w:ind w:firstLine="720" w:end="0"/>
        <w:jc w:val="both"/>
        <w:rPr/>
      </w:pPr>
      <w:r>
        <w:rPr>
          <w:b/>
          <w:bCs/>
          <w:sz w:val="24"/>
          <w:szCs w:val="24"/>
        </w:rPr>
        <w:t>There seems a typographical erro</w:t>
      </w:r>
      <w:r>
        <w:rPr/>
        <w:t>r in</w:t>
      </w:r>
      <w:r>
        <w:rPr>
          <w:sz w:val="24"/>
          <w:szCs w:val="24"/>
        </w:rPr>
        <w:t xml:space="preserve"> the dynamic recursion (5) on page 7. The subscript for the amount of natural gas should be k+1 instead of k-1 for “injection”. Likewise, it should be k-1 for “withdraw”. Also in the line 5 on page 7, “k = 0” and “k = M” need to be exchanged.  (We naturally took M as the maximum capacity of the storage.)</w:t>
      </w:r>
    </w:p>
    <w:p>
      <w:pPr>
        <w:pStyle w:val="Normal"/>
        <w:widowControl/>
        <w:ind w:firstLine="720" w:end="0"/>
        <w:jc w:val="both"/>
        <w:rPr>
          <w:sz w:val="24"/>
          <w:szCs w:val="24"/>
        </w:rPr>
      </w:pPr>
      <w:r>
        <w:rPr>
          <w:sz w:val="24"/>
          <w:szCs w:val="24"/>
        </w:rPr>
        <w:t xml:space="preserve">We notice that the storage quantity k changes only one unit at a time in the dynamic recursion. This formulation implicitly requires that the daily maximum injection and withdrawal quantities VI  and VW are constants, and always the daily maximum quantities are injected or withdrawn. </w:t>
      </w:r>
    </w:p>
    <w:p>
      <w:pPr>
        <w:pStyle w:val="Normal"/>
        <w:widowControl/>
        <w:ind w:firstLine="720" w:end="0"/>
        <w:jc w:val="both"/>
        <w:rPr/>
      </w:pPr>
      <w:r>
        <w:rPr>
          <w:sz w:val="24"/>
          <w:szCs w:val="24"/>
        </w:rPr>
        <w:t xml:space="preserve">About the first requirement, the document (line 4 of page 7) also says that VI  and VW can be specified as functions of k, the gas in the storage. In that case, the dynamic recursion (5) and the terminal condition (6) must be modified .The latter requirement is merely trivial if the value function is homogeneous (of degree p &gt; 0) in k, the gas in the storage, but it is not so obvious in our case. For instance, some injection amount between 0 and VI can be optimal. We assume that the proposed formulation simply discretizes the storage state space and VI  and VW really </w:t>
      </w:r>
      <w:r>
        <w:rPr>
          <w:i/>
          <w:iCs/>
          <w:sz w:val="24"/>
          <w:szCs w:val="24"/>
        </w:rPr>
        <w:t>wo</w:t>
      </w:r>
      <w:r>
        <w:rPr>
          <w:sz w:val="24"/>
          <w:szCs w:val="24"/>
        </w:rPr>
        <w:t>rk as the “fixed” units of daily injection and</w:t>
      </w:r>
      <w:r>
        <w:rPr>
          <w:i/>
          <w:iCs/>
          <w:sz w:val="24"/>
          <w:szCs w:val="24"/>
        </w:rPr>
        <w:t xml:space="preserve"> w</w:t>
      </w:r>
      <w:r>
        <w:rPr>
          <w:sz w:val="24"/>
          <w:szCs w:val="24"/>
        </w:rPr>
        <w:t xml:space="preserve">ithdraw amount. </w:t>
      </w:r>
    </w:p>
    <w:p>
      <w:pPr>
        <w:pStyle w:val="Normal"/>
        <w:widowControl/>
        <w:ind w:end="0"/>
        <w:jc w:val="both"/>
        <w:rPr/>
      </w:pPr>
      <w:r>
        <w:rPr>
          <w:sz w:val="24"/>
          <w:szCs w:val="24"/>
        </w:rPr>
        <w:t xml:space="preserve">Let us for now assume VI  and VW can be functions of k. Also assume they take only nonnegative integers and measured in the same unit as k, so that it makes sense to add VI to k (or subtract VW from k.) Using these quantities, the </w:t>
      </w:r>
      <w:r>
        <w:rPr>
          <w:i/>
          <w:iCs/>
          <w:sz w:val="24"/>
          <w:szCs w:val="24"/>
        </w:rPr>
        <w:t>su</w:t>
      </w:r>
      <w:r>
        <w:rPr>
          <w:i/>
          <w:iCs/>
          <w:sz w:val="24"/>
          <w:szCs w:val="24"/>
          <w:vertAlign w:val="subscript"/>
        </w:rPr>
        <w:t>bscr</w:t>
      </w:r>
      <w:r>
        <w:rPr>
          <w:sz w:val="24"/>
          <w:szCs w:val="24"/>
        </w:rPr>
        <w:t>ipts for the gas storage in the dynamic recursion (5) should read k+ VI for “injection” and k- V</w:t>
      </w:r>
      <w:r>
        <w:rPr>
          <w:i/>
          <w:iCs/>
          <w:sz w:val="24"/>
          <w:szCs w:val="24"/>
        </w:rPr>
        <w:t xml:space="preserve">W </w:t>
      </w:r>
      <w:r>
        <w:rPr>
          <w:sz w:val="24"/>
          <w:szCs w:val="24"/>
        </w:rPr>
        <w:t>for “withdraw”. Likewise in the line 1 on page 7, k = 1,…n -1 should</w:t>
      </w:r>
      <w:r>
        <w:rPr>
          <w:i/>
          <w:iCs/>
          <w:sz w:val="24"/>
          <w:szCs w:val="24"/>
        </w:rPr>
        <w:t xml:space="preserve"> read k </w:t>
      </w:r>
      <w:r>
        <w:rPr>
          <w:sz w:val="24"/>
          <w:szCs w:val="24"/>
        </w:rPr>
        <w:t xml:space="preserve">= VW,…M - VI. The terminal condition (6) on page 7 becomes, when k &gt; 0,µ §. </w:t>
      </w:r>
    </w:p>
    <w:p>
      <w:pPr>
        <w:pStyle w:val="Normal"/>
        <w:widowControl/>
        <w:ind w:end="0"/>
        <w:jc w:val="both"/>
        <w:rPr/>
      </w:pPr>
      <w:r>
        <w:rPr>
          <w:sz w:val="24"/>
          <w:szCs w:val="24"/>
        </w:rPr>
        <w:t xml:space="preserve">A special case would be of course VI  ( VW </w:t>
      </w:r>
      <w:r>
        <w:rPr>
          <w:i/>
          <w:iCs/>
          <w:sz w:val="24"/>
          <w:szCs w:val="24"/>
        </w:rPr>
        <w:t>( 1,</w:t>
      </w:r>
      <w:r>
        <w:rPr>
          <w:sz w:val="24"/>
          <w:szCs w:val="24"/>
        </w:rPr>
        <w:t xml:space="preserve"> and in this case the dynamic recursion (5) and the term</w:t>
      </w:r>
      <w:r>
        <w:rPr>
          <w:i/>
          <w:iCs/>
          <w:sz w:val="24"/>
          <w:szCs w:val="24"/>
        </w:rPr>
        <w:t>in</w:t>
      </w:r>
      <w:r>
        <w:rPr>
          <w:sz w:val="24"/>
          <w:szCs w:val="24"/>
        </w:rPr>
        <w:t>al condition (6) remain valid.</w:t>
      </w:r>
    </w:p>
    <w:p>
      <w:pPr>
        <w:pStyle w:val="Normal"/>
        <w:widowControl/>
        <w:ind w:end="0"/>
        <w:jc w:val="both"/>
        <w:rPr>
          <w:sz w:val="24"/>
          <w:szCs w:val="24"/>
        </w:rPr>
      </w:pPr>
      <w:r>
        <w:rPr>
          <w:sz w:val="24"/>
          <w:szCs w:val="24"/>
        </w:rPr>
      </w:r>
    </w:p>
    <w:p>
      <w:pPr>
        <w:pStyle w:val="Normal"/>
        <w:widowControl/>
        <w:ind w:end="0"/>
        <w:jc w:val="both"/>
        <w:rPr>
          <w:sz w:val="24"/>
          <w:szCs w:val="24"/>
        </w:rPr>
      </w:pPr>
      <w:r>
        <w:rPr>
          <w:sz w:val="24"/>
          <w:szCs w:val="24"/>
        </w:rPr>
        <w:t>B.</w:t>
        <w:tab/>
        <w:t>Constant Interest Rate Assumption</w:t>
      </w:r>
    </w:p>
    <w:p>
      <w:pPr>
        <w:pStyle w:val="Normal"/>
        <w:widowControl/>
        <w:ind w:end="0"/>
        <w:jc w:val="both"/>
        <w:rPr>
          <w:sz w:val="24"/>
          <w:szCs w:val="24"/>
        </w:rPr>
      </w:pPr>
      <w:r>
        <w:rPr>
          <w:sz w:val="24"/>
          <w:szCs w:val="24"/>
        </w:rPr>
      </w:r>
    </w:p>
    <w:p>
      <w:pPr>
        <w:pStyle w:val="Normal"/>
        <w:widowControl/>
        <w:ind w:firstLine="720" w:end="0"/>
        <w:jc w:val="both"/>
        <w:rPr/>
      </w:pPr>
      <w:r>
        <w:rPr>
          <w:sz w:val="24"/>
          <w:szCs w:val="24"/>
        </w:rPr>
        <w:t>Even if the correlation between the short-term interest rate and the futures prices are negligible</w:t>
      </w:r>
      <w:r>
        <w:rPr>
          <w:i/>
          <w:iCs/>
          <w:sz w:val="24"/>
          <w:szCs w:val="24"/>
        </w:rPr>
        <w:t xml:space="preserve">, </w:t>
      </w:r>
      <w:r>
        <w:rPr>
          <w:sz w:val="24"/>
          <w:szCs w:val="24"/>
        </w:rPr>
        <w:t>the constant discount rate might be unrealistic since the valuation horizon may be longer than several years. A potentia</w:t>
      </w:r>
      <w:r>
        <w:rPr>
          <w:i/>
          <w:iCs/>
          <w:sz w:val="24"/>
          <w:szCs w:val="24"/>
        </w:rPr>
        <w:t>l fix is</w:t>
      </w:r>
      <w:r>
        <w:rPr>
          <w:sz w:val="24"/>
          <w:szCs w:val="24"/>
        </w:rPr>
        <w:t xml:space="preserve"> to use a deterministically time-variant discount rate dt. For instance, use the average discount rate dt such that satisfies 1/(1 + dt) = E[1/(1 + rt)], where rt is the “true” stochastic short rate and the expectation is taken under a risk-neutral measure. </w:t>
      </w:r>
    </w:p>
    <w:p>
      <w:pPr>
        <w:pStyle w:val="Normal"/>
        <w:widowControl/>
        <w:ind w:firstLine="720" w:end="0"/>
        <w:jc w:val="both"/>
        <w:rPr/>
      </w:pPr>
      <w:r>
        <w:rPr>
          <w:sz w:val="24"/>
          <w:szCs w:val="24"/>
        </w:rPr>
        <w:t>However, there remains a Jensen’s effect associated with optionality and the randomness of the short rate rt. That is, the interest rate affects the opti</w:t>
      </w:r>
      <w:r>
        <w:rPr>
          <w:i/>
          <w:iCs/>
          <w:sz w:val="24"/>
          <w:szCs w:val="24"/>
        </w:rPr>
        <w:t>ma</w:t>
      </w:r>
      <w:r>
        <w:rPr>
          <w:i/>
          <w:iCs/>
          <w:sz w:val="24"/>
          <w:szCs w:val="24"/>
          <w:vertAlign w:val="subscript"/>
        </w:rPr>
        <w:t>l ch</w:t>
      </w:r>
      <w:r>
        <w:rPr>
          <w:sz w:val="24"/>
          <w:szCs w:val="24"/>
        </w:rPr>
        <w:t>oice of storage options, and we cannot take the expectation before we make an optimal choice under each realization of rt. To see this, suppose the value of each choice in the dynamic programming recursion are H(r), I(r) and W(r) when the prevailing interest rate is r, respectively for “hold”, “injection” and “withdraw”. Even if these functions are affine in r (which is not plausible though), the maximum of them is a convex function and does not preserve linearity. Therefore in general, we again face the Jensen’s effect through optionality and thus observeµ §.</w:t>
      </w:r>
    </w:p>
    <w:p>
      <w:pPr>
        <w:pStyle w:val="Normal"/>
        <w:widowControl/>
        <w:ind w:end="0"/>
        <w:jc w:val="both"/>
        <w:rPr>
          <w:sz w:val="24"/>
          <w:szCs w:val="24"/>
        </w:rPr>
      </w:pPr>
      <w:r>
        <w:rPr>
          <w:sz w:val="24"/>
          <w:szCs w:val="24"/>
        </w:rPr>
      </w:r>
    </w:p>
    <w:p>
      <w:pPr>
        <w:pStyle w:val="Normal"/>
        <w:widowControl/>
        <w:jc w:val="both"/>
        <w:rPr>
          <w:b/>
          <w:bCs/>
          <w:sz w:val="24"/>
          <w:szCs w:val="24"/>
        </w:rPr>
      </w:pPr>
      <w:r>
        <w:rPr>
          <w:b/>
          <w:bCs/>
          <w:sz w:val="24"/>
          <w:szCs w:val="24"/>
        </w:rPr>
      </w:r>
    </w:p>
    <w:p>
      <w:pPr>
        <w:pStyle w:val="Normal"/>
        <w:widowControl/>
        <w:jc w:val="both"/>
        <w:rPr>
          <w:b/>
          <w:bCs/>
          <w:sz w:val="24"/>
          <w:szCs w:val="24"/>
        </w:rPr>
      </w:pPr>
      <w:r>
        <w:rPr>
          <w:b/>
          <w:bCs/>
          <w:sz w:val="24"/>
          <w:szCs w:val="24"/>
        </w:rPr>
        <w:t>C.</w:t>
        <w:tab/>
        <w:t>Reduction of State Space</w:t>
      </w:r>
    </w:p>
    <w:p>
      <w:pPr>
        <w:pStyle w:val="Normal"/>
        <w:widowControl/>
        <w:jc w:val="both"/>
        <w:rPr>
          <w:b/>
          <w:bCs/>
          <w:sz w:val="24"/>
          <w:szCs w:val="24"/>
        </w:rPr>
      </w:pPr>
      <w:r>
        <w:rPr>
          <w:b/>
          <w:bCs/>
          <w:sz w:val="24"/>
          <w:szCs w:val="24"/>
        </w:rPr>
      </w:r>
    </w:p>
    <w:p>
      <w:pPr>
        <w:pStyle w:val="Normal"/>
        <w:widowControl/>
        <w:ind w:firstLine="720" w:end="0"/>
        <w:jc w:val="both"/>
        <w:rPr/>
      </w:pPr>
      <w:r>
        <w:rPr>
          <w:b/>
          <w:bCs/>
          <w:sz w:val="24"/>
          <w:szCs w:val="24"/>
        </w:rPr>
        <w:t>In a large state space model, it i</w:t>
      </w:r>
      <w:r>
        <w:rPr/>
        <w:t>s im</w:t>
      </w:r>
      <w:r>
        <w:rPr>
          <w:sz w:val="24"/>
          <w:szCs w:val="24"/>
        </w:rPr>
        <w:t>portant to consider how to reduce the state space dimension. In our case, it helps if we can alter the current value function f(S, k, t), which has three arguments (set aside the multiple dimension implied in S), to a new value function of two arguments. One of the standa</w:t>
      </w:r>
      <w:r>
        <w:rPr>
          <w:i/>
          <w:iCs/>
          <w:sz w:val="24"/>
          <w:szCs w:val="24"/>
        </w:rPr>
        <w:t>rd</w:t>
      </w:r>
      <w:r>
        <w:rPr>
          <w:i/>
          <w:iCs/>
          <w:sz w:val="24"/>
          <w:szCs w:val="24"/>
          <w:vertAlign w:val="subscript"/>
        </w:rPr>
        <w:t xml:space="preserve"> m</w:t>
      </w:r>
      <w:r>
        <w:rPr>
          <w:sz w:val="24"/>
          <w:szCs w:val="24"/>
        </w:rPr>
        <w:t>ethods for</w:t>
      </w:r>
      <w:r>
        <w:rPr>
          <w:i/>
          <w:iCs/>
          <w:sz w:val="24"/>
          <w:szCs w:val="24"/>
        </w:rPr>
        <w:t xml:space="preserve"> t</w:t>
      </w:r>
      <w:r>
        <w:rPr>
          <w:i/>
          <w:iCs/>
          <w:sz w:val="24"/>
          <w:szCs w:val="24"/>
          <w:vertAlign w:val="subscript"/>
        </w:rPr>
        <w:t>he s</w:t>
      </w:r>
      <w:r>
        <w:rPr>
          <w:sz w:val="24"/>
          <w:szCs w:val="24"/>
        </w:rPr>
        <w:t>tate space reduction is to assume homogeneity of the value function (of degree one) in the quantity of the underlying asset. In other words, we want to find such a transform as f(S, k, t) = k h(S, t).</w:t>
      </w:r>
    </w:p>
    <w:p>
      <w:pPr>
        <w:pStyle w:val="Normal"/>
        <w:widowControl/>
        <w:ind w:firstLine="720" w:end="0"/>
        <w:jc w:val="both"/>
        <w:rPr>
          <w:sz w:val="24"/>
          <w:szCs w:val="24"/>
        </w:rPr>
      </w:pPr>
      <w:r>
        <w:rPr>
          <w:sz w:val="24"/>
          <w:szCs w:val="24"/>
        </w:rPr>
        <w:t xml:space="preserve">In order to make such a transform possible, however, we must impose a few bold assumptions. First, most importantly, we assume there is no capacity limit in the gas storage. Second, assume the daily injection and withdrawal quantity VI  and VW satisfies the following: VI = vI k and VW = vW k for some positive constantsµ § and vW. Third, assume that the per-unit injection and withdrawal cost KI  and KW are constants and independent of the reserved gas k. </w:t>
      </w:r>
    </w:p>
    <w:p>
      <w:pPr>
        <w:pStyle w:val="Normal"/>
        <w:widowControl/>
        <w:ind w:end="0"/>
        <w:jc w:val="both"/>
        <w:rPr>
          <w:sz w:val="24"/>
          <w:szCs w:val="24"/>
        </w:rPr>
      </w:pPr>
      <w:r>
        <w:rPr>
          <w:sz w:val="24"/>
          <w:szCs w:val="24"/>
        </w:rPr>
        <w:t>The first assumption is inevitable since otherwise we cannot abandon the storage quantity state variable k. This assumption may be acceptable only for sufficiently large reservoir. It may also be possible to do a first-order expansion around the case of no capacity limit.</w:t>
      </w:r>
    </w:p>
    <w:p>
      <w:pPr>
        <w:pStyle w:val="Normal"/>
        <w:widowControl/>
        <w:ind w:end="0"/>
        <w:jc w:val="both"/>
        <w:rPr>
          <w:sz w:val="24"/>
          <w:szCs w:val="24"/>
        </w:rPr>
      </w:pPr>
      <w:r>
        <w:rPr>
          <w:sz w:val="24"/>
          <w:szCs w:val="24"/>
        </w:rPr>
        <w:t xml:space="preserve">The second assumption implies that the daily injection and withdrawal have no upper bounds, and are constant fractions of the quantity of the gas k in storage. This makes sense only when the optimal strategy does not fill the storage up to a point where VI = vI k is no longer practical. </w:t>
      </w:r>
    </w:p>
    <w:p>
      <w:pPr>
        <w:pStyle w:val="Normal"/>
        <w:widowControl/>
        <w:ind w:end="0"/>
        <w:jc w:val="both"/>
        <w:rPr>
          <w:sz w:val="24"/>
          <w:szCs w:val="24"/>
        </w:rPr>
      </w:pPr>
      <w:r>
        <w:rPr>
          <w:sz w:val="24"/>
          <w:szCs w:val="24"/>
        </w:rPr>
        <w:t xml:space="preserve">The third assumption may not be outrageously unrealistic, if we can ignore fixed setup costs for injection or withdraw. </w:t>
      </w:r>
    </w:p>
    <w:p>
      <w:pPr>
        <w:pStyle w:val="Normal"/>
        <w:widowControl/>
        <w:ind w:end="0"/>
        <w:jc w:val="both"/>
        <w:rPr>
          <w:sz w:val="24"/>
          <w:szCs w:val="24"/>
        </w:rPr>
      </w:pPr>
      <w:r>
        <w:rPr>
          <w:sz w:val="24"/>
          <w:szCs w:val="24"/>
        </w:rPr>
        <w:t>Under these bold assumptions, the dynamic recursion for h(S, t) can be written</w:t>
      </w:r>
    </w:p>
    <w:p>
      <w:pPr>
        <w:pStyle w:val="Normal"/>
        <w:widowControl/>
        <w:ind w:end="0"/>
        <w:jc w:val="both"/>
        <w:rPr>
          <w:sz w:val="24"/>
          <w:szCs w:val="24"/>
        </w:rPr>
      </w:pPr>
      <w:r>
        <w:rPr>
          <w:sz w:val="24"/>
          <w:szCs w:val="24"/>
        </w:rPr>
      </w:r>
    </w:p>
    <w:p>
      <w:pPr>
        <w:pStyle w:val="Normal"/>
        <w:widowControl/>
        <w:ind w:end="0"/>
        <w:jc w:val="both"/>
        <w:rPr>
          <w:sz w:val="24"/>
          <w:szCs w:val="24"/>
        </w:rPr>
      </w:pPr>
      <w:r>
        <w:rPr>
          <w:sz w:val="24"/>
          <w:szCs w:val="24"/>
        </w:rPr>
        <w:t xml:space="preserve">      </w:t>
      </w:r>
      <w:r>
        <w:rPr>
          <w:sz w:val="24"/>
          <w:szCs w:val="24"/>
        </w:rPr>
        <w:t xml:space="preserve">µ §                        </w:t>
      </w:r>
    </w:p>
    <w:p>
      <w:pPr>
        <w:pStyle w:val="Normal"/>
        <w:widowControl/>
        <w:ind w:end="0"/>
        <w:jc w:val="both"/>
        <w:rPr>
          <w:sz w:val="24"/>
          <w:szCs w:val="24"/>
        </w:rPr>
      </w:pPr>
      <w:r>
        <w:rPr>
          <w:sz w:val="24"/>
          <w:szCs w:val="24"/>
        </w:rPr>
        <w:t xml:space="preserve">                                </w:t>
      </w:r>
      <w:r>
        <w:rPr>
          <w:sz w:val="24"/>
          <w:szCs w:val="24"/>
        </w:rPr>
        <w:t>µ §</w:t>
      </w:r>
    </w:p>
    <w:p>
      <w:pPr>
        <w:pStyle w:val="Normal"/>
        <w:widowControl/>
        <w:ind w:end="0"/>
        <w:jc w:val="both"/>
        <w:rPr>
          <w:sz w:val="24"/>
          <w:szCs w:val="24"/>
        </w:rPr>
      </w:pPr>
      <w:r>
        <w:rPr>
          <w:sz w:val="24"/>
          <w:szCs w:val="24"/>
        </w:rPr>
      </w:r>
    </w:p>
    <w:p>
      <w:pPr>
        <w:pStyle w:val="Normal"/>
        <w:widowControl/>
        <w:ind w:end="0"/>
        <w:jc w:val="both"/>
        <w:rPr>
          <w:sz w:val="24"/>
          <w:szCs w:val="24"/>
        </w:rPr>
      </w:pPr>
      <w:r>
        <w:rPr>
          <w:sz w:val="24"/>
          <w:szCs w:val="24"/>
        </w:rPr>
        <w:t>which is free from the storage state variable k. Note the terminal condition is now un</w:t>
        <w:softHyphen/>
        <w:t xml:space="preserve">conditional on k and isµ §. The value of the storage is always zero whenever k = 0 by the transform f(S, k, t) = k h(S, t). </w:t>
      </w:r>
    </w:p>
    <w:p>
      <w:pPr>
        <w:pStyle w:val="Normal"/>
        <w:widowControl/>
        <w:jc w:val="both"/>
        <w:rPr>
          <w:sz w:val="24"/>
          <w:szCs w:val="24"/>
        </w:rPr>
      </w:pPr>
      <w:r>
        <w:rPr>
          <w:sz w:val="24"/>
          <w:szCs w:val="24"/>
        </w:rPr>
      </w:r>
    </w:p>
    <w:p>
      <w:pPr>
        <w:pStyle w:val="Normal"/>
        <w:widowControl/>
        <w:jc w:val="both"/>
        <w:rPr/>
      </w:pPr>
      <w:r>
        <w:rPr>
          <w:sz w:val="24"/>
          <w:szCs w:val="24"/>
        </w:rPr>
        <w:tab/>
        <w:t>There are two remarks. First, this state space reduction technique cannot be used if the daily injection and withdrawal quantity VI  and VW are constants as are originally intended in the equation (5) on page 7. Second, if we want to include a f</w:t>
      </w:r>
      <w:r>
        <w:rPr>
          <w:i/>
          <w:iCs/>
          <w:sz w:val="24"/>
          <w:szCs w:val="24"/>
        </w:rPr>
        <w:t>ix</w:t>
      </w:r>
      <w:r>
        <w:rPr>
          <w:i/>
          <w:iCs/>
          <w:sz w:val="24"/>
          <w:szCs w:val="24"/>
          <w:vertAlign w:val="subscript"/>
        </w:rPr>
        <w:t>ed</w:t>
      </w:r>
      <w:r>
        <w:rPr>
          <w:sz w:val="24"/>
          <w:szCs w:val="24"/>
          <w:vertAlign w:val="subscript"/>
        </w:rPr>
        <w:t xml:space="preserve"> set</w:t>
      </w:r>
      <w:r>
        <w:rPr>
          <w:sz w:val="24"/>
          <w:szCs w:val="24"/>
        </w:rPr>
        <w:t xml:space="preserve">up cost </w:t>
      </w:r>
      <w:r>
        <w:rPr>
          <w:i/>
          <w:iCs/>
          <w:sz w:val="24"/>
          <w:szCs w:val="24"/>
        </w:rPr>
        <w:t>fo</w:t>
      </w:r>
      <w:r>
        <w:rPr>
          <w:i/>
          <w:iCs/>
          <w:sz w:val="24"/>
          <w:szCs w:val="24"/>
          <w:vertAlign w:val="subscript"/>
        </w:rPr>
        <w:t xml:space="preserve">r </w:t>
      </w:r>
      <w:r>
        <w:rPr>
          <w:sz w:val="24"/>
          <w:szCs w:val="24"/>
        </w:rPr>
        <w:t>injection and withdraw, which may in any case be a prudent generalization of the current Enron methodology, then state space reduction is not possible.</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pPr>
      <w:r>
        <w:rPr>
          <w:sz w:val="24"/>
          <w:szCs w:val="24"/>
        </w:rPr>
        <w:t>3.</w:t>
      </w:r>
      <w:r>
        <w:rPr>
          <w:b/>
          <w:bCs/>
          <w:sz w:val="24"/>
          <w:szCs w:val="24"/>
        </w:rPr>
        <w:tab/>
        <w:t>Numerical Test</w:t>
      </w:r>
    </w:p>
    <w:p>
      <w:pPr>
        <w:pStyle w:val="Normal"/>
        <w:widowControl/>
        <w:jc w:val="both"/>
        <w:rPr>
          <w:b/>
          <w:bCs/>
          <w:sz w:val="24"/>
          <w:szCs w:val="24"/>
        </w:rPr>
      </w:pPr>
      <w:r>
        <w:rPr>
          <w:b/>
          <w:bCs/>
          <w:sz w:val="24"/>
          <w:szCs w:val="24"/>
        </w:rPr>
      </w:r>
    </w:p>
    <w:p>
      <w:pPr>
        <w:pStyle w:val="Normal"/>
        <w:widowControl/>
        <w:jc w:val="both"/>
        <w:rPr/>
      </w:pPr>
      <w:r>
        <w:rPr>
          <w:b/>
          <w:bCs/>
          <w:sz w:val="24"/>
          <w:szCs w:val="24"/>
        </w:rPr>
        <w:tab/>
        <w:t>Since the forwar</w:t>
      </w:r>
      <w:r>
        <w:rPr>
          <w:sz w:val="24"/>
          <w:szCs w:val="24"/>
        </w:rPr>
        <w:t>d curve is already given and seems not supposed to be changed under this test Excel model, we conducted our numerical tests by only changing operational and financial parameters. First, although it was not written in the “sam.doc”, we have noticed that, by interpreting the last part of the C program code, that the output value in Excel sheet (“PriceMod”) is the “unit” storage value, and not the total present value of storage. It is determined as the following:</w:t>
      </w:r>
    </w:p>
    <w:p>
      <w:pPr>
        <w:pStyle w:val="Normal"/>
        <w:widowControl/>
        <w:jc w:val="both"/>
        <w:rPr>
          <w:sz w:val="24"/>
          <w:szCs w:val="24"/>
        </w:rPr>
      </w:pPr>
      <w:r>
        <w:rPr>
          <w:sz w:val="24"/>
          <w:szCs w:val="24"/>
        </w:rPr>
        <w:tab/>
      </w:r>
    </w:p>
    <w:p>
      <w:pPr>
        <w:pStyle w:val="Normal"/>
        <w:widowControl/>
        <w:jc w:val="both"/>
        <w:rPr>
          <w:sz w:val="24"/>
          <w:szCs w:val="24"/>
        </w:rPr>
      </w:pPr>
      <w:r>
        <w:rPr>
          <w:sz w:val="24"/>
          <w:szCs w:val="24"/>
        </w:rPr>
        <w:t xml:space="preserve"> </w:t>
      </w:r>
      <w:r>
        <w:rPr>
          <w:sz w:val="24"/>
          <w:szCs w:val="24"/>
        </w:rPr>
        <w:tab/>
        <w:t xml:space="preserve">Unit Storage Value (Excel output ) </w:t>
      </w:r>
    </w:p>
    <w:p>
      <w:pPr>
        <w:pStyle w:val="Normal"/>
        <w:widowControl/>
        <w:jc w:val="both"/>
        <w:rPr>
          <w:sz w:val="24"/>
          <w:szCs w:val="24"/>
        </w:rPr>
      </w:pPr>
      <w:r>
        <w:rPr>
          <w:sz w:val="24"/>
          <w:szCs w:val="24"/>
        </w:rPr>
        <w:t xml:space="preserve">      </w:t>
      </w:r>
      <w:r>
        <w:rPr>
          <w:sz w:val="24"/>
          <w:szCs w:val="24"/>
        </w:rPr>
        <w:t>= (PV of the storage ( SpotPrice ( StartingVolume) / StorageCapacity</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 xml:space="preserve">That is, the unit storage value is measured as the difference between the total present value of the storage and the spot value of the same amount of gas, and then divided by the storage capacity. From the definition it is obvious that, given a certain starting volume of gas, if the unit storage value is positive then this particular volume of gas had better be held in storage and managed by Enron than selling at the spot market. </w:t>
      </w:r>
    </w:p>
    <w:p>
      <w:pPr>
        <w:pStyle w:val="Normal"/>
        <w:widowControl/>
        <w:ind w:start="720" w:end="0"/>
        <w:jc w:val="both"/>
        <w:rPr/>
      </w:pPr>
      <w:r>
        <w:rPr>
          <w:sz w:val="24"/>
          <w:szCs w:val="24"/>
        </w:rPr>
        <w:tab/>
        <w:t>While this unit storage value will make sense to Enron’s managerial purposes, we nee</w:t>
      </w:r>
      <w:r>
        <w:rPr>
          <w:rFonts w:eastAsia="Symbol" w:cs="Symbol" w:ascii="Symbol" w:hAnsi="Symbol"/>
          <w:sz w:val="24"/>
          <w:szCs w:val="24"/>
        </w:rPr>
        <w:sym w:font="Symbol" w:char="2d"/>
        <w:sym w:font="Symbol" w:char="2d"/>
      </w:r>
      <w:r>
        <w:rPr>
          <w:sz w:val="24"/>
          <w:szCs w:val="24"/>
        </w:rPr>
        <w:t>to see how the total p</w:t>
      </w:r>
      <w:r>
        <w:rPr>
          <w:rFonts w:eastAsia="Symbol" w:cs="Symbol" w:ascii="Symbol" w:hAnsi="Symbol"/>
          <w:sz w:val="24"/>
          <w:szCs w:val="24"/>
        </w:rPr>
        <w:sym w:font="Symbol" w:char="b4"/>
        <w:sym w:font="Symbol" w:char="b4"/>
      </w:r>
      <w:r>
        <w:rPr>
          <w:sz w:val="24"/>
          <w:szCs w:val="24"/>
        </w:rPr>
        <w:t>sent value of the storage changes as key input parameters change. Therefore in our testing, we reverse the above definition to obtain “PV of the storage” from the unit storage value, which is obtained from the Excel output. We will henceforth abbreviate the “PV of the storage” and simply denote “PV”.</w:t>
      </w:r>
    </w:p>
    <w:p>
      <w:pPr>
        <w:pStyle w:val="Normal"/>
        <w:widowControl/>
        <w:jc w:val="both"/>
        <w:rPr>
          <w:sz w:val="24"/>
          <w:szCs w:val="24"/>
        </w:rPr>
      </w:pPr>
      <w:r>
        <w:rPr>
          <w:sz w:val="24"/>
          <w:szCs w:val="24"/>
        </w:rPr>
      </w:r>
    </w:p>
    <w:p>
      <w:pPr>
        <w:pStyle w:val="Normal"/>
        <w:widowControl/>
        <w:jc w:val="both"/>
        <w:rPr>
          <w:sz w:val="24"/>
          <w:szCs w:val="24"/>
        </w:rPr>
      </w:pPr>
      <w:r>
        <w:rPr>
          <w:sz w:val="24"/>
          <w:szCs w:val="24"/>
        </w:rPr>
        <w:t>A.</w:t>
        <w:tab/>
        <w:t>Linear Injection (Withdraw) Curve</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 xml:space="preserve">To check the model’s behavior, we first tested whether a case which is “very close to homogeneous in k” can be correctly reflected in the model’s computation. Namely, suppose that the daily injection and withdraw are constant fraction of the gas in storage, or VI = vI k and VW = vW k , and that per-unit injection (withdraw) costs KI  and KW are constants. In this case, if there were no capacity limit (or M = (), then the model would be homogeneous of degree one in k as we have already discussed. Of course we have to specify a finite storage capacity M in the test program, but if the storage capacity M is sufficiently large compared to the starting volume k0, and if constantsµ § and vW are sufficiently small, then the PV curve is expected to be constant regardless of M. This is because, the larger M is (and the smaller µ § and vW are ), the less chance we have of hitting the capacity limit, and therefore the less the storage capacity M would matter. Hence we would expect to see a constant PV for large values of storage capacity M, while expecting to see an increasing PV in small values of M. </w:t>
      </w:r>
    </w:p>
    <w:p>
      <w:pPr>
        <w:pStyle w:val="Normal"/>
        <w:widowControl/>
        <w:jc w:val="both"/>
        <w:rPr>
          <w:sz w:val="24"/>
          <w:szCs w:val="24"/>
        </w:rPr>
      </w:pPr>
      <w:r>
        <w:rPr>
          <w:sz w:val="24"/>
          <w:szCs w:val="24"/>
        </w:rPr>
        <w:tab/>
        <w:t xml:space="preserve">Let us fix the starting volume of gas k0 in storage, say, k0 = 1. We have noticed that, somehow the model works only up to the storage capacity M = 16. Hence we plot the results for M= 2,4,6,8,10,12,14 and 16, and then interpolate them. </w:t>
      </w:r>
    </w:p>
    <w:p>
      <w:pPr>
        <w:pStyle w:val="Normal"/>
        <w:widowControl/>
        <w:jc w:val="both"/>
        <w:rPr/>
      </w:pPr>
      <w:r>
        <w:rPr>
          <w:sz w:val="24"/>
          <w:szCs w:val="24"/>
        </w:rPr>
        <w:tab/>
        <w:t>For simplicity we set the injection and w</w:t>
      </w:r>
      <w:r>
        <w:rPr>
          <w:b/>
          <w:bCs/>
          <w:sz w:val="24"/>
          <w:szCs w:val="24"/>
        </w:rPr>
        <w:t>ithdraw costs KI  = KW = 0, and terminal penalty = 0. Other parameters are</w:t>
      </w:r>
      <w:r>
        <w:rPr>
          <w:sz w:val="24"/>
          <w:szCs w:val="24"/>
        </w:rPr>
        <w:t xml:space="preserve"> the same as in the base case as given by Enron: spot = 3.35, interest rate is 10%, and storage contract length is 12 months. We have tested three cases for the constants µ § and vW : (a</w:t>
      </w:r>
      <w:r>
        <w:rPr>
          <w:i/>
          <w:iCs/>
          <w:sz w:val="24"/>
          <w:szCs w:val="24"/>
        </w:rPr>
        <w:t xml:space="preserve">) </w:t>
      </w:r>
      <w:r>
        <w:rPr>
          <w:sz w:val="24"/>
          <w:szCs w:val="24"/>
        </w:rPr>
        <w:t>µ § = 0.01,vW =0.02. (b) µ § = 0.1,vW =0.2 (c) µ § = 1,vW = 1. For instance, the first case (a) means that the daily injection (withdraw) amount is 1% (2%) of the gas in storage. These parameters are input in the table for “Injection / Withdraw Curve” so tha</w:t>
      </w:r>
      <w:r>
        <w:rPr>
          <w:i/>
          <w:iCs/>
          <w:sz w:val="24"/>
          <w:szCs w:val="24"/>
        </w:rPr>
        <w:t xml:space="preserve">t </w:t>
      </w:r>
      <w:r>
        <w:rPr>
          <w:i/>
          <w:iCs/>
          <w:sz w:val="24"/>
          <w:szCs w:val="24"/>
          <w:vertAlign w:val="subscript"/>
        </w:rPr>
        <w:t>th</w:t>
      </w:r>
      <w:r>
        <w:rPr>
          <w:sz w:val="24"/>
          <w:szCs w:val="24"/>
        </w:rPr>
        <w:t>e curv</w:t>
      </w:r>
      <w:r>
        <w:rPr>
          <w:i/>
          <w:iCs/>
          <w:sz w:val="24"/>
          <w:szCs w:val="24"/>
        </w:rPr>
        <w:t xml:space="preserve">e </w:t>
      </w:r>
      <w:r>
        <w:rPr>
          <w:i/>
          <w:iCs/>
          <w:sz w:val="24"/>
          <w:szCs w:val="24"/>
          <w:vertAlign w:val="subscript"/>
        </w:rPr>
        <w:t>sh</w:t>
      </w:r>
      <w:r>
        <w:rPr>
          <w:i/>
          <w:iCs/>
          <w:sz w:val="24"/>
          <w:szCs w:val="24"/>
        </w:rPr>
        <w:t xml:space="preserve">ows </w:t>
      </w:r>
      <w:r>
        <w:rPr>
          <w:sz w:val="24"/>
          <w:szCs w:val="24"/>
        </w:rPr>
        <w:t>the desire</w:t>
      </w:r>
      <w:r>
        <w:rPr>
          <w:i/>
          <w:iCs/>
          <w:sz w:val="24"/>
          <w:szCs w:val="24"/>
        </w:rPr>
        <w:t xml:space="preserve">d </w:t>
      </w:r>
      <w:r>
        <w:rPr>
          <w:i/>
          <w:iCs/>
          <w:sz w:val="24"/>
          <w:szCs w:val="24"/>
          <w:vertAlign w:val="subscript"/>
        </w:rPr>
        <w:t>li</w:t>
      </w:r>
      <w:r>
        <w:rPr>
          <w:sz w:val="24"/>
          <w:szCs w:val="24"/>
        </w:rPr>
        <w:t>near p</w:t>
      </w:r>
      <w:r>
        <w:rPr>
          <w:i/>
          <w:iCs/>
          <w:sz w:val="24"/>
          <w:szCs w:val="24"/>
        </w:rPr>
        <w:t>at</w:t>
      </w:r>
      <w:r>
        <w:rPr>
          <w:i/>
          <w:iCs/>
          <w:sz w:val="24"/>
          <w:szCs w:val="24"/>
          <w:vertAlign w:val="subscript"/>
        </w:rPr>
        <w:t>te</w:t>
      </w:r>
      <w:r>
        <w:rPr>
          <w:i/>
          <w:iCs/>
          <w:sz w:val="24"/>
          <w:szCs w:val="24"/>
        </w:rPr>
        <w:t>rn w</w:t>
      </w:r>
      <w:r>
        <w:rPr>
          <w:i/>
          <w:iCs/>
          <w:sz w:val="24"/>
          <w:szCs w:val="24"/>
          <w:vertAlign w:val="superscript"/>
        </w:rPr>
        <w:t>it</w:t>
      </w:r>
      <w:r>
        <w:rPr>
          <w:sz w:val="24"/>
          <w:szCs w:val="24"/>
        </w:rPr>
        <w:t>h respect to the gas in storage.</w:t>
      </w:r>
    </w:p>
    <w:p>
      <w:pPr>
        <w:pStyle w:val="Normal"/>
        <w:widowControl/>
        <w:jc w:val="both"/>
        <w:rPr/>
      </w:pPr>
      <w:r>
        <w:rPr>
          <w:sz w:val="24"/>
          <w:szCs w:val="24"/>
        </w:rPr>
        <w:tab/>
        <w:t>The results of these cases are in Fig-1. The horizontal axis</w:t>
      </w:r>
      <w:r>
        <w:rPr>
          <w:i/>
          <w:iCs/>
          <w:sz w:val="24"/>
          <w:szCs w:val="24"/>
        </w:rPr>
        <w:t xml:space="preserve"> i</w:t>
      </w:r>
      <w:r>
        <w:rPr>
          <w:i/>
          <w:iCs/>
          <w:sz w:val="24"/>
          <w:szCs w:val="24"/>
          <w:vertAlign w:val="subscript"/>
        </w:rPr>
        <w:t xml:space="preserve">s </w:t>
      </w:r>
      <w:r>
        <w:rPr>
          <w:sz w:val="24"/>
          <w:szCs w:val="24"/>
          <w:vertAlign w:val="subscript"/>
        </w:rPr>
        <w:t xml:space="preserve">the </w:t>
      </w:r>
      <w:r>
        <w:rPr>
          <w:sz w:val="24"/>
          <w:szCs w:val="24"/>
        </w:rPr>
        <w:t xml:space="preserve">storage </w:t>
      </w:r>
      <w:r>
        <w:rPr>
          <w:i/>
          <w:iCs/>
          <w:sz w:val="24"/>
          <w:szCs w:val="24"/>
        </w:rPr>
        <w:t>ca</w:t>
      </w:r>
      <w:r>
        <w:rPr>
          <w:i/>
          <w:iCs/>
          <w:sz w:val="24"/>
          <w:szCs w:val="24"/>
          <w:vertAlign w:val="subscript"/>
        </w:rPr>
        <w:t>pa</w:t>
      </w:r>
      <w:r>
        <w:rPr>
          <w:sz w:val="24"/>
          <w:szCs w:val="24"/>
        </w:rPr>
        <w:t>city (M bcf) and the vertical axis is for the PV of the storage (in the same dollar used for the “unit storage price” on the Excel s</w:t>
      </w:r>
      <w:r>
        <w:rPr>
          <w:i/>
          <w:iCs/>
          <w:sz w:val="24"/>
          <w:szCs w:val="24"/>
        </w:rPr>
        <w:t>he</w:t>
      </w:r>
      <w:r>
        <w:rPr>
          <w:sz w:val="24"/>
          <w:szCs w:val="24"/>
        </w:rPr>
        <w:t xml:space="preserve">et). </w:t>
      </w:r>
    </w:p>
    <w:p>
      <w:pPr>
        <w:pStyle w:val="Normal"/>
        <w:widowControl/>
        <w:jc w:val="both"/>
        <w:rPr/>
      </w:pPr>
      <w:r>
        <w:rPr>
          <w:rFonts w:eastAsia="Symbol" w:cs="Symbol" w:ascii="Symbol" w:hAnsi="Symbol"/>
          <w:sz w:val="24"/>
          <w:szCs w:val="24"/>
        </w:rPr>
        <w:sym w:font="Symbol" w:char="a5"/>
        <w:sym w:font="Symbol" w:char="a5"/>
      </w:r>
      <w:r>
        <w:rPr>
          <w:sz w:val="24"/>
          <w:szCs w:val="24"/>
        </w:rPr>
        <w:t>or the “very small” parameters (a), the computation hung up in the middle and did not return results on our mach</w:t>
      </w:r>
      <w:r>
        <w:rPr>
          <w:i/>
          <w:iCs/>
          <w:sz w:val="24"/>
          <w:szCs w:val="24"/>
        </w:rPr>
        <w:t>in</w:t>
      </w:r>
      <w:r>
        <w:rPr>
          <w:sz w:val="24"/>
          <w:szCs w:val="24"/>
        </w:rPr>
        <w:t xml:space="preserve">e (Pentium 200MHz, 80 MB memory). This may be merely because the storage state space would be too finely discritized and become too large. (We understand that the model is </w:t>
      </w:r>
      <w:r>
        <w:rPr>
          <w:i/>
          <w:iCs/>
          <w:sz w:val="24"/>
          <w:szCs w:val="24"/>
        </w:rPr>
        <w:t>ba</w:t>
      </w:r>
      <w:r>
        <w:rPr>
          <w:sz w:val="24"/>
          <w:szCs w:val="24"/>
        </w:rPr>
        <w:t>sed on simulation and can generally handle any injection / withdraw curve, thus this comment will no</w:t>
      </w:r>
      <w:r>
        <w:rPr>
          <w:i/>
          <w:iCs/>
          <w:sz w:val="24"/>
          <w:szCs w:val="24"/>
        </w:rPr>
        <w:t xml:space="preserve">t </w:t>
      </w:r>
      <w:r>
        <w:rPr>
          <w:sz w:val="24"/>
          <w:szCs w:val="24"/>
        </w:rPr>
        <w:t>be a fair criticism. Nevertheless, this result may imply that some approximation techniques may help to reduce</w:t>
      </w:r>
      <w:r>
        <w:rPr>
          <w:i/>
          <w:iCs/>
          <w:sz w:val="24"/>
          <w:szCs w:val="24"/>
        </w:rPr>
        <w:t xml:space="preserve"> com</w:t>
      </w:r>
      <w:r>
        <w:rPr>
          <w:sz w:val="24"/>
          <w:szCs w:val="24"/>
        </w:rPr>
        <w:t>putational burden.)</w:t>
      </w:r>
    </w:p>
    <w:p>
      <w:pPr>
        <w:pStyle w:val="Normal"/>
        <w:widowControl/>
        <w:jc w:val="both"/>
        <w:rPr>
          <w:sz w:val="24"/>
          <w:szCs w:val="24"/>
        </w:rPr>
      </w:pPr>
      <w:r>
        <w:rPr>
          <w:sz w:val="24"/>
          <w:szCs w:val="24"/>
        </w:rPr>
        <w:t xml:space="preserve"> </w:t>
      </w:r>
    </w:p>
    <w:p>
      <w:pPr>
        <w:pStyle w:val="Normal"/>
        <w:widowControl/>
        <w:jc w:val="both"/>
        <w:rPr/>
      </w:pPr>
      <w:r>
        <w:rPr>
          <w:sz w:val="24"/>
          <w:szCs w:val="24"/>
        </w:rPr>
        <w:tab/>
        <w:t>For both of t</w:t>
      </w:r>
      <w:r>
        <w:rPr/>
        <w:t>he cases (b) and (c), the PV curves clearl</w:t>
      </w:r>
      <w:r>
        <w:rPr>
          <w:position w:val="-10"/>
        </w:rPr>
        <w:t xml:space="preserve">y </w:t>
      </w:r>
      <w:r>
        <w:rPr/>
        <w:t>in</w:t>
      </w:r>
      <w:r>
        <w:rPr>
          <w:i/>
          <w:iCs/>
          <w:sz w:val="24"/>
          <w:szCs w:val="24"/>
        </w:rPr>
        <w:t>cr</w:t>
      </w:r>
      <w:r>
        <w:rPr>
          <w:sz w:val="24"/>
          <w:szCs w:val="24"/>
        </w:rPr>
        <w:t>easing a</w:t>
      </w:r>
      <w:r>
        <w:rPr>
          <w:i/>
          <w:iCs/>
          <w:sz w:val="24"/>
          <w:szCs w:val="24"/>
        </w:rPr>
        <w:t>nd</w:t>
      </w:r>
      <w:r>
        <w:rPr>
          <w:i/>
          <w:iCs/>
          <w:sz w:val="24"/>
          <w:szCs w:val="24"/>
          <w:vertAlign w:val="subscript"/>
        </w:rPr>
        <w:t xml:space="preserve"> n</w:t>
      </w:r>
      <w:r>
        <w:rPr>
          <w:sz w:val="24"/>
          <w:szCs w:val="24"/>
        </w:rPr>
        <w:t xml:space="preserve">ever look constant. In other words, the storage capacity M in fact matters at least in this domain of M ( 16. Therefore we conclude that the storage capacity M must be </w:t>
      </w:r>
      <w:r>
        <w:rPr>
          <w:i/>
          <w:iCs/>
          <w:sz w:val="24"/>
          <w:szCs w:val="24"/>
        </w:rPr>
        <w:t>mu</w:t>
      </w:r>
      <w:r>
        <w:rPr>
          <w:sz w:val="24"/>
          <w:szCs w:val="24"/>
        </w:rPr>
        <w:t xml:space="preserve">ch larger than 16 in order for us to ignore M to reduce the </w:t>
      </w:r>
      <w:r>
        <w:rPr>
          <w:i/>
          <w:iCs/>
          <w:sz w:val="24"/>
          <w:szCs w:val="24"/>
        </w:rPr>
        <w:t>st</w:t>
      </w:r>
      <w:r>
        <w:rPr>
          <w:sz w:val="24"/>
          <w:szCs w:val="24"/>
        </w:rPr>
        <w:t>ate space. It is expected that if we could</w:t>
      </w:r>
      <w:r>
        <w:rPr/>
        <w:t xml:space="preserve"> input M &gt;&gt; 16, then the PV would flatten </w:t>
      </w:r>
      <w:r>
        <w:rPr>
          <w:position w:val="-10"/>
        </w:rPr>
        <w:t>ou</w:t>
      </w:r>
      <w:r>
        <w:rPr/>
        <w:t xml:space="preserve">t </w:t>
      </w:r>
      <w:r>
        <w:rPr>
          <w:i/>
          <w:iCs/>
          <w:sz w:val="24"/>
          <w:szCs w:val="24"/>
        </w:rPr>
        <w:t>as</w:t>
      </w:r>
      <w:r>
        <w:rPr>
          <w:sz w:val="24"/>
          <w:szCs w:val="24"/>
        </w:rPr>
        <w:t>ymptotic</w:t>
      </w:r>
      <w:r>
        <w:rPr>
          <w:i/>
          <w:iCs/>
          <w:sz w:val="24"/>
          <w:szCs w:val="24"/>
        </w:rPr>
        <w:t>al</w:t>
      </w:r>
      <w:r>
        <w:rPr>
          <w:i/>
          <w:iCs/>
          <w:sz w:val="24"/>
          <w:szCs w:val="24"/>
          <w:vertAlign w:val="subscript"/>
        </w:rPr>
        <w:t>ly</w:t>
      </w:r>
      <w:r>
        <w:rPr>
          <w:sz w:val="24"/>
          <w:szCs w:val="24"/>
        </w:rPr>
        <w:t xml:space="preserve">.   </w:t>
        <w:tab/>
      </w:r>
    </w:p>
    <w:p>
      <w:pPr>
        <w:pStyle w:val="Normal"/>
        <w:widowControl/>
        <w:jc w:val="center"/>
        <w:rPr/>
      </w:pPr>
      <w:r>
        <w:rPr>
          <w:sz w:val="24"/>
          <w:szCs w:val="24"/>
        </w:rPr>
        <w:tab/>
        <w:t>However, there is a very interesting observation. When the parameters are small as in (b), µ § = 0.1,vW =0.2, the PV curve looks almost linear in the whole domain. It means that, when M i</w:t>
      </w:r>
      <w:r>
        <w:rPr>
          <w:i/>
          <w:iCs/>
          <w:sz w:val="24"/>
          <w:szCs w:val="24"/>
        </w:rPr>
        <w:t xml:space="preserve">s </w:t>
      </w:r>
      <w:r>
        <w:rPr>
          <w:sz w:val="24"/>
          <w:szCs w:val="24"/>
        </w:rPr>
        <w:t>relatively small (as we see when M ( 16), a first-order expansion of the value function PV with respect to M is very promising. In other words, if Enron can accept linear injection (withdraw</w:t>
      </w:r>
      <w:r>
        <w:rPr>
          <w:i/>
          <w:iCs/>
          <w:sz w:val="24"/>
          <w:szCs w:val="24"/>
        </w:rPr>
        <w:t xml:space="preserve">) </w:t>
      </w:r>
      <w:r>
        <w:rPr>
          <w:sz w:val="24"/>
          <w:szCs w:val="24"/>
        </w:rPr>
        <w:t>assumption, and is more interested in small values of M, then it may help to approximate the PV for small M to the first-o</w:t>
      </w:r>
      <w:r>
        <w:rPr>
          <w:i/>
          <w:iCs/>
          <w:sz w:val="24"/>
          <w:szCs w:val="24"/>
        </w:rPr>
        <w:t>rd</w:t>
      </w:r>
      <w:r>
        <w:rPr>
          <w:sz w:val="24"/>
          <w:szCs w:val="24"/>
        </w:rPr>
        <w:t xml:space="preserve">er and reduce computational burden. </w:t>
      </w:r>
    </w:p>
    <w:p>
      <w:pPr>
        <w:pStyle w:val="Normal"/>
        <w:widowControl/>
        <w:jc w:val="center"/>
        <w:rPr/>
      </w:pPr>
      <w:r>
        <w:rPr>
          <w:sz w:val="24"/>
          <w:szCs w:val="24"/>
        </w:rPr>
        <w:tab/>
        <w:t>On the other hand, for the extreme case (c),µ § = 1,vW = 1, the PV</w:t>
      </w:r>
      <w:r>
        <w:rPr>
          <w:i/>
          <w:iCs/>
          <w:sz w:val="24"/>
          <w:szCs w:val="24"/>
        </w:rPr>
        <w:t xml:space="preserve"> cur</w:t>
      </w:r>
      <w:r>
        <w:rPr>
          <w:sz w:val="24"/>
          <w:szCs w:val="24"/>
        </w:rPr>
        <w:t>ve shows convexity when the capacity M is very small. It implies that a higher order expansion may be required in this case.</w:t>
      </w:r>
    </w:p>
    <w:p>
      <w:pPr>
        <w:pStyle w:val="Normal"/>
        <w:widowControl/>
        <w:jc w:val="center"/>
        <w:rPr/>
      </w:pPr>
      <w:r>
        <w:rPr>
          <w:sz w:val="24"/>
          <w:szCs w:val="24"/>
        </w:rPr>
        <w:tab/>
        <w:t xml:space="preserve">Next we fix M and plot PVs for different starting volume k0. The results are in Fig-2, for </w:t>
      </w:r>
      <w:r>
        <w:rPr>
          <w:i/>
          <w:iCs/>
          <w:sz w:val="24"/>
          <w:szCs w:val="24"/>
        </w:rPr>
        <w:t xml:space="preserve">M = </w:t>
      </w:r>
      <w:r>
        <w:rPr>
          <w:sz w:val="24"/>
          <w:szCs w:val="24"/>
        </w:rPr>
        <w:t>16 and M = 8 respectively.</w:t>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m:oMathPara xmlns:m="http://schemas.openxmlformats.org/officeDocument/2006/math">
        <m:oMathParaPr>
          <m:jc m:val="center"/>
        </m:oMathParaPr>
        <m:oMath>
          <m:sSub>
            <m:e>
              <m:r>
                <m:t xml:space="preserve">v</m:t>
              </m:r>
            </m:e>
            <m:sub>
              <m:r>
                <m:t xml:space="preserve">I</m:t>
              </m:r>
            </m:sub>
          </m:sSub>
        </m:oMath>
      </m:oMathPara>
    </w:p>
    <w:p>
      <w:pPr>
        <w:pStyle w:val="Normal"/>
        <w:widowControl/>
        <w:jc w:val="center"/>
        <w:rPr>
          <w:sz w:val="24"/>
          <w:szCs w:val="24"/>
        </w:rPr>
      </w:pPr>
      <w:r>
        <w:rPr>
          <w:sz w:val="24"/>
          <w:szCs w:val="24"/>
        </w:rPr>
      </w:r>
    </w:p>
    <w:p>
      <w:pPr>
        <w:pStyle w:val="Normal"/>
        <w:widowControl/>
        <w:jc w:val="both"/>
        <w:rPr>
          <w:sz w:val="24"/>
          <w:szCs w:val="24"/>
        </w:rPr>
      </w:pPr>
      <w:r>
        <w:rPr>
          <w:sz w:val="24"/>
          <w:szCs w:val="24"/>
        </w:rPr>
        <w:t xml:space="preserve">It is interesting to observe that the PV of the storage shows linearity in terms of the starting gas k0, although the entire level of the PV depends on the storage capacity M. </w:t>
      </w:r>
    </w:p>
    <w:p>
      <w:pPr>
        <w:pStyle w:val="Normal"/>
        <w:widowControl/>
        <w:jc w:val="both"/>
        <w:rPr>
          <w:sz w:val="24"/>
          <w:szCs w:val="24"/>
        </w:rPr>
      </w:pPr>
      <w:r>
        <w:rPr>
          <w:sz w:val="24"/>
          <w:szCs w:val="24"/>
        </w:rPr>
        <w:tab/>
        <w:t>From these results, under the linear injection (withdraw) assumption, a potential approximation form of the storage value function would be f(S, k,M,t) ( k M h(S, t).</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pPr>
      <w:r>
        <w:rPr>
          <w:sz w:val="24"/>
          <w:szCs w:val="24"/>
        </w:rPr>
        <w:t>B.</w:t>
      </w:r>
      <w:r>
        <w:rPr>
          <w:b/>
          <w:bCs/>
          <w:sz w:val="24"/>
          <w:szCs w:val="24"/>
        </w:rPr>
        <w:tab/>
        <w:t>Constant Injection (Withdraw) Curve</w:t>
      </w:r>
    </w:p>
    <w:p>
      <w:pPr>
        <w:pStyle w:val="Normal"/>
        <w:widowControl/>
        <w:jc w:val="both"/>
        <w:rPr>
          <w:b/>
          <w:bCs/>
          <w:sz w:val="24"/>
          <w:szCs w:val="24"/>
        </w:rPr>
      </w:pPr>
      <w:r>
        <w:rPr>
          <w:b/>
          <w:bCs/>
          <w:sz w:val="24"/>
          <w:szCs w:val="24"/>
        </w:rPr>
      </w:r>
    </w:p>
    <w:p>
      <w:pPr>
        <w:pStyle w:val="Normal"/>
        <w:widowControl/>
        <w:jc w:val="center"/>
        <w:rPr/>
      </w:pPr>
      <w:r>
        <w:rPr>
          <w:b/>
          <w:bCs/>
          <w:sz w:val="24"/>
          <w:szCs w:val="24"/>
        </w:rPr>
        <w:tab/>
        <w:t>Next, we tested the constant daily in</w:t>
      </w:r>
      <w:r>
        <w:rPr>
          <w:sz w:val="24"/>
          <w:szCs w:val="24"/>
        </w:rPr>
        <w:t xml:space="preserve">jection (withdraw) case, which is the Enron’s original setting. Intuitively, constant daily injection (withdraw) will make the PV curve strictly concave, since the more the gas is in storage, the less fraction of it can be injected or withdrawn, and thus the marginal value-added decreases as the capacity increases. Hence we expect a concave PV curve. </w:t>
      </w:r>
    </w:p>
    <w:p>
      <w:pPr>
        <w:pStyle w:val="Normal"/>
        <w:widowControl/>
        <w:jc w:val="center"/>
        <w:rPr/>
      </w:pPr>
      <w:r>
        <w:rPr>
          <w:sz w:val="24"/>
          <w:szCs w:val="24"/>
        </w:rPr>
        <w:tab/>
        <w:t xml:space="preserve">We set the injection (withdraw) constants VI = 0.2 and VW = 0.4, which is the Enron’s original setting. In Fig-3, two curves are shown, for KI  = KW = 0 and KI  = KW = </w:t>
      </w:r>
      <w:r>
        <w:rPr>
          <w:i/>
          <w:iCs/>
          <w:sz w:val="24"/>
          <w:szCs w:val="24"/>
        </w:rPr>
        <w:t>0.</w:t>
      </w:r>
      <w:r>
        <w:rPr>
          <w:i/>
          <w:iCs/>
          <w:sz w:val="24"/>
          <w:szCs w:val="24"/>
          <w:vertAlign w:val="subscript"/>
        </w:rPr>
        <w:t>03</w:t>
      </w:r>
      <w:r>
        <w:rPr>
          <w:sz w:val="24"/>
          <w:szCs w:val="24"/>
          <w:vertAlign w:val="subscript"/>
        </w:rPr>
        <w:t>5 (w</w:t>
      </w:r>
      <w:r>
        <w:rPr>
          <w:sz w:val="24"/>
          <w:szCs w:val="24"/>
        </w:rPr>
        <w:t>hich</w:t>
      </w:r>
      <w:r>
        <w:rPr>
          <w:i/>
          <w:iCs/>
          <w:sz w:val="24"/>
          <w:szCs w:val="24"/>
        </w:rPr>
        <w:t xml:space="preserve"> i</w:t>
      </w:r>
      <w:r>
        <w:rPr>
          <w:i/>
          <w:iCs/>
          <w:sz w:val="24"/>
          <w:szCs w:val="24"/>
          <w:vertAlign w:val="subscript"/>
        </w:rPr>
        <w:t xml:space="preserve">s </w:t>
      </w:r>
      <w:r>
        <w:rPr>
          <w:sz w:val="24"/>
          <w:szCs w:val="24"/>
        </w:rPr>
        <w:t>the original setti</w:t>
      </w:r>
      <w:r>
        <w:rPr>
          <w:i/>
          <w:iCs/>
          <w:sz w:val="24"/>
          <w:szCs w:val="24"/>
        </w:rPr>
        <w:t>ng</w:t>
      </w:r>
      <w:r>
        <w:rPr>
          <w:i/>
          <w:iCs/>
          <w:sz w:val="24"/>
          <w:szCs w:val="24"/>
          <w:vertAlign w:val="subscript"/>
        </w:rPr>
        <w:t xml:space="preserve">) </w:t>
      </w:r>
      <w:r>
        <w:rPr>
          <w:sz w:val="24"/>
          <w:szCs w:val="24"/>
          <w:vertAlign w:val="subscript"/>
        </w:rPr>
        <w:t>resp</w:t>
      </w:r>
      <w:r>
        <w:rPr>
          <w:sz w:val="24"/>
          <w:szCs w:val="24"/>
        </w:rPr>
        <w:t>ecti</w:t>
      </w:r>
      <w:r>
        <w:rPr>
          <w:i/>
          <w:iCs/>
          <w:sz w:val="24"/>
          <w:szCs w:val="24"/>
        </w:rPr>
        <w:t>ve</w:t>
      </w:r>
      <w:r>
        <w:rPr>
          <w:i/>
          <w:iCs/>
          <w:sz w:val="24"/>
          <w:szCs w:val="24"/>
          <w:vertAlign w:val="subscript"/>
        </w:rPr>
        <w:t>ly</w:t>
      </w:r>
      <w:r>
        <w:rPr>
          <w:sz w:val="24"/>
          <w:szCs w:val="24"/>
        </w:rPr>
        <w:t xml:space="preserve">. As expected, the two PV curves show concavity, though not that strong, over the whole domain. </w:t>
      </w:r>
    </w:p>
    <w:p>
      <w:pPr>
        <w:pStyle w:val="Normal"/>
        <w:widowControl/>
        <w:jc w:val="center"/>
        <w:rPr>
          <w:sz w:val="24"/>
          <w:szCs w:val="24"/>
        </w:rPr>
      </w:pPr>
      <w:r>
        <w:rPr>
          <w:sz w:val="24"/>
          <w:szCs w:val="24"/>
        </w:rPr>
      </w:r>
    </w:p>
    <w:p>
      <w:pPr>
        <w:pStyle w:val="Normal"/>
        <w:widowControl/>
        <w:jc w:val="center"/>
        <w:rPr>
          <w:sz w:val="24"/>
          <w:szCs w:val="24"/>
        </w:rPr>
      </w:pPr>
      <w:r>
        <w:rPr>
          <w:sz w:val="24"/>
          <w:szCs w:val="24"/>
        </w:rPr>
        <w:drawing>
          <wp:inline distT="0" distB="0" distL="0" distR="0">
            <wp:extent cx="4986655" cy="30714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4986655" cy="3071495"/>
                    </a:xfrm>
                    <a:prstGeom prst="rect">
                      <a:avLst/>
                    </a:prstGeom>
                    <a:noFill/>
                  </pic:spPr>
                </pic:pic>
              </a:graphicData>
            </a:graphic>
          </wp:inline>
        </w:drawing>
      </w:r>
    </w:p>
    <w:p>
      <w:pPr>
        <w:pStyle w:val="Normal"/>
        <w:widowControl/>
        <w:jc w:val="center"/>
        <w:rPr>
          <w:sz w:val="24"/>
          <w:szCs w:val="24"/>
        </w:rPr>
      </w:pPr>
      <w:r>
        <w:rPr>
          <w:sz w:val="24"/>
          <w:szCs w:val="24"/>
        </w:rPr>
      </w:r>
    </w:p>
    <w:p>
      <w:pPr>
        <w:pStyle w:val="Normal"/>
        <w:widowControl/>
        <w:jc w:val="both"/>
        <w:rPr>
          <w:sz w:val="24"/>
          <w:szCs w:val="24"/>
        </w:rPr>
      </w:pPr>
      <w:r>
        <w:rPr>
          <w:sz w:val="24"/>
          <w:szCs w:val="24"/>
        </w:rPr>
        <w:t>As</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5574030" cy="1417320"/>
                <wp:effectExtent l="0" t="0" r="0" b="0"/>
                <wp:wrapSquare wrapText="bothSides"/>
                <wp:docPr id="2" name="Frame1"/>
                <a:graphic xmlns:a="http://schemas.openxmlformats.org/drawingml/2006/main">
                  <a:graphicData uri="http://schemas.microsoft.com/office/word/2010/wordprocessingShape">
                    <wps:wsp>
                      <wps:cNvSpPr txBox="1"/>
                      <wps:spPr>
                        <a:xfrm>
                          <a:off x="0" y="0"/>
                          <a:ext cx="5574030" cy="1417320"/>
                        </a:xfrm>
                        <a:prstGeom prst="rect"/>
                        <a:solidFill>
                          <a:srgbClr val="FFFFFF">
                            <a:alpha val="0"/>
                          </a:srgbClr>
                        </a:solidFill>
                      </wps:spPr>
                      <wps:txbx>
                        <w:txbxContent>
                          <w:p>
                            <w:pPr>
                              <w:pStyle w:val="Footer"/>
                              <w:rPr>
                                <w:sz w:val="24"/>
                                <w:szCs w:val="24"/>
                              </w:rPr>
                            </w:pPr>
                            <w:r>
                              <w:rPr>
                                <w:sz w:val="24"/>
                                <w:szCs w:val="24"/>
                              </w:rPr>
                              <w:t xml:space="preserve"> </w:t>
                            </w:r>
                            <w:r>
                              <w:rPr>
                                <w:sz w:val="24"/>
                                <w:szCs w:val="24"/>
                              </w:rPr>
                              <w:t>we have discussed, the exact state space reduction is not possible in this constant injection (withdraw) case. However, under the current implementation, there seems substantial difference in computational burden between the above linear injection (withdraw) curve and the constant injection (withdraw) curve here. For instance, Fig-2 takes much longer time than Fig-1 to plot, although difference may depend on machine specifications. This difference is probably due to the difference in necessary discritization of the storage state space. Therefore, considering the computational burden, a first-order approximation of PV for small M may again help in this case.</w:t>
                            </w:r>
                          </w:p>
                        </w:txbxContent>
                      </wps:txbx>
                      <wps:bodyPr anchor="t" lIns="0" tIns="0" rIns="0" bIns="0">
                        <a:noAutofit/>
                      </wps:bodyPr>
                    </wps:wsp>
                  </a:graphicData>
                </a:graphic>
              </wp:anchor>
            </w:drawing>
          </mc:Choice>
          <mc:Fallback>
            <w:pict>
              <v:rect fillcolor="#FFFFFF" style="position:absolute;rotation:-0;width:438.9pt;height:111.6pt;mso-wrap-distance-left:0pt;mso-wrap-distance-right:0pt;mso-wrap-distance-top:0pt;mso-wrap-distance-bottom:0pt;margin-top:0.05pt;mso-position-vertical-relative:text;margin-left:1.5pt;mso-position-horizontal:center;mso-position-horizontal-relative:margin">
                <v:fill opacity="0f"/>
                <v:textbox inset="0in,0in,0in,0in">
                  <w:txbxContent>
                    <w:p>
                      <w:pPr>
                        <w:pStyle w:val="Footer"/>
                        <w:rPr>
                          <w:sz w:val="24"/>
                          <w:szCs w:val="24"/>
                        </w:rPr>
                      </w:pPr>
                      <w:r>
                        <w:rPr>
                          <w:sz w:val="24"/>
                          <w:szCs w:val="24"/>
                        </w:rPr>
                        <w:t xml:space="preserve"> </w:t>
                      </w:r>
                      <w:r>
                        <w:rPr>
                          <w:sz w:val="24"/>
                          <w:szCs w:val="24"/>
                        </w:rPr>
                        <w:t>we have discussed, the exact state space reduction is not possible in this constant injection (withdraw) case. However, under the current implementation, there seems substantial difference in computational burden between the above linear injection (withdraw) curve and the constant injection (withdraw) curve here. For instance, Fig-2 takes much longer time than Fig-1 to plot, although difference may depend on machine specifications. This difference is probably due to the difference in necessary discritization of the storage state space. Therefore, considering the computational burden, a first-order approximation of PV for small M may again help in this case.</w:t>
                      </w:r>
                    </w:p>
                  </w:txbxContent>
                </v:textbox>
                <w10:wrap type="square"/>
              </v:rect>
            </w:pict>
          </mc:Fallback>
        </mc:AlternateContent>
      </w:r>
    </w:p>
    <w:sectPr>
      <w:footerReference w:type="default" r:id="rId3"/>
      <w:type w:val="nextPage"/>
      <w:pgSz w:w="12240" w:h="15840"/>
      <w:pgMar w:left="1701" w:right="1701" w:gutter="0" w:header="0" w:top="1985" w:footer="720" w:bottom="1701"/>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entury">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40"/>
      <w:jc w:val="start"/>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4"/>
      <w:szCs w:val="24"/>
    </w:rPr>
  </w:style>
  <w:style w:type="paragraph" w:styleId="Heading3">
    <w:name w:val="heading 3"/>
    <w:basedOn w:val="Normal"/>
    <w:next w:val="Normal"/>
    <w:qFormat/>
    <w:pPr>
      <w:keepNext w:val="true"/>
      <w:numPr>
        <w:ilvl w:val="2"/>
        <w:numId w:val="1"/>
      </w:numPr>
      <w:jc w:val="center"/>
      <w:outlineLvl w:val="2"/>
    </w:pPr>
    <w:rPr>
      <w:b/>
      <w:bCs/>
    </w:rPr>
  </w:style>
  <w:style w:type="paragraph" w:styleId="Heading4">
    <w:name w:val="heading 4"/>
    <w:basedOn w:val="Normal"/>
    <w:next w:val="W"/>
    <w:qFormat/>
    <w:pPr>
      <w:keepNext w:val="true"/>
      <w:numPr>
        <w:ilvl w:val="3"/>
        <w:numId w:val="1"/>
      </w:numPr>
      <w:ind w:hanging="0" w:start="720" w:end="0"/>
      <w:outlineLvl w:val="3"/>
    </w:pPr>
    <w:rPr>
      <w:sz w:val="24"/>
      <w:szCs w:val="24"/>
    </w:rPr>
  </w:style>
  <w:style w:type="paragraph" w:styleId="Heading5">
    <w:name w:val="heading 5"/>
    <w:basedOn w:val="Normal"/>
    <w:next w:val="W"/>
    <w:qFormat/>
    <w:pPr>
      <w:keepNext w:val="true"/>
      <w:numPr>
        <w:ilvl w:val="4"/>
        <w:numId w:val="1"/>
      </w:numPr>
      <w:jc w:val="both"/>
      <w:outlineLvl w:val="4"/>
    </w:pPr>
    <w:rPr>
      <w:b/>
      <w:bCs/>
      <w:sz w:val="24"/>
      <w:szCs w:val="24"/>
    </w:rPr>
  </w:style>
  <w:style w:type="paragraph" w:styleId="Heading6">
    <w:name w:val="heading 6"/>
    <w:basedOn w:val="Normal"/>
    <w:next w:val="W"/>
    <w:qFormat/>
    <w:pPr>
      <w:keepNext w:val="true"/>
      <w:numPr>
        <w:ilvl w:val="5"/>
        <w:numId w:val="2"/>
      </w:numPr>
      <w:tabs>
        <w:tab w:val="left" w:pos="720" w:leader="none"/>
      </w:tabs>
      <w:ind w:hanging="720" w:start="720" w:end="0"/>
      <w:outlineLvl w:val="5"/>
    </w:pPr>
    <w:rPr>
      <w:b/>
      <w:bCs/>
      <w:sz w:val="24"/>
      <w:szCs w:val="24"/>
    </w:rPr>
  </w:style>
  <w:style w:type="character" w:styleId="i">
    <w:name w:val="’i—ŽÌ«ÝÄ"/>
    <w:qFormat/>
    <w:rPr/>
  </w:style>
  <w:style w:type="character" w:styleId="PageNumber">
    <w:name w:val="page number"/>
    <w:basedOn w:val="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
    <w:name w:val="•W€²ÝÃÞÝÄ"/>
    <w:basedOn w:val="Normal"/>
    <w:qFormat/>
    <w:pPr>
      <w:ind w:hanging="0" w:start="851"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252" w:leader="none"/>
        <w:tab w:val="right" w:pos="8504" w:leader="none"/>
      </w:tabs>
    </w:pPr>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標準.dot</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2000-06-09T05:39:00Z</dcterms:created>
  <dc:creator>Taiichi Hoshino</dc:creator>
  <dc:description/>
  <dc:language>en-CA</dc:language>
  <cp:lastModifiedBy>Taiichi Hoshino</cp:lastModifiedBy>
  <cp:lastPrinted>2000-05-24T14:35:00Z</cp:lastPrinted>
  <dcterms:modified xsi:type="dcterms:W3CDTF">2000-06-09T08:23:00Z</dcterms:modified>
  <cp:revision>125</cp:revision>
  <dc:subject/>
  <dc:title>A Model Review: Enron*s Natural Gas Storage Valuation Mode</dc:title>
</cp:coreProperties>
</file>